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7549" w14:textId="548A94A4" w:rsidR="006C4D47" w:rsidRPr="003A536A" w:rsidRDefault="008E6AA3" w:rsidP="006C4D47">
      <w:pPr>
        <w:jc w:val="center"/>
        <w:rPr>
          <w:rFonts w:ascii="Times New Roman" w:hAnsi="Times New Roman" w:cs="Times New Roman"/>
          <w:b/>
          <w:bCs/>
          <w:sz w:val="32"/>
          <w:szCs w:val="32"/>
        </w:rPr>
      </w:pPr>
      <w:r>
        <w:rPr>
          <w:rFonts w:ascii="Times New Roman" w:hAnsi="Times New Roman" w:cs="Times New Roman"/>
          <w:b/>
          <w:bCs/>
          <w:sz w:val="32"/>
          <w:szCs w:val="32"/>
        </w:rPr>
        <w:t>We</w:t>
      </w:r>
      <w:r w:rsidR="006C4D47" w:rsidRPr="003A536A">
        <w:rPr>
          <w:rFonts w:ascii="Times New Roman" w:hAnsi="Times New Roman" w:cs="Times New Roman"/>
          <w:b/>
          <w:bCs/>
          <w:sz w:val="32"/>
          <w:szCs w:val="32"/>
        </w:rPr>
        <w:t>Churchill County Museum Collections Management Policy</w:t>
      </w:r>
    </w:p>
    <w:p w14:paraId="6AAC41EA" w14:textId="77777777" w:rsidR="006C4D47" w:rsidRPr="006C4D47" w:rsidRDefault="006C4D47" w:rsidP="006C4D47">
      <w:pPr>
        <w:jc w:val="center"/>
        <w:rPr>
          <w:rFonts w:ascii="Times New Roman" w:hAnsi="Times New Roman" w:cs="Times New Roman"/>
          <w:b/>
          <w:sz w:val="28"/>
        </w:rPr>
      </w:pPr>
      <w:r w:rsidRPr="006C4D47">
        <w:rPr>
          <w:rFonts w:ascii="Times New Roman" w:hAnsi="Times New Roman" w:cs="Times New Roman"/>
          <w:b/>
          <w:sz w:val="28"/>
        </w:rPr>
        <w:t>1 – Definitions</w:t>
      </w:r>
    </w:p>
    <w:p w14:paraId="6D69AA63" w14:textId="77777777" w:rsidR="006C4D47" w:rsidRPr="006C4D47" w:rsidRDefault="006C4D47" w:rsidP="006C4D47">
      <w:pPr>
        <w:jc w:val="center"/>
        <w:rPr>
          <w:rFonts w:ascii="Times New Roman" w:hAnsi="Times New Roman" w:cs="Times New Roman"/>
        </w:rPr>
      </w:pPr>
    </w:p>
    <w:p w14:paraId="09BA85E3" w14:textId="747EF368" w:rsidR="006C4D47" w:rsidRPr="006C4D47" w:rsidRDefault="006C4D47" w:rsidP="006C4D47">
      <w:pPr>
        <w:pStyle w:val="BodyText"/>
        <w:jc w:val="both"/>
        <w:rPr>
          <w:b w:val="0"/>
          <w:i w:val="0"/>
          <w:sz w:val="24"/>
        </w:rPr>
      </w:pPr>
      <w:r w:rsidRPr="006C4D47">
        <w:rPr>
          <w:i w:val="0"/>
          <w:sz w:val="24"/>
        </w:rPr>
        <w:t xml:space="preserve">Mission Statement: </w:t>
      </w:r>
      <w:r w:rsidRPr="006C4D47">
        <w:rPr>
          <w:b w:val="0"/>
          <w:i w:val="0"/>
          <w:sz w:val="24"/>
        </w:rPr>
        <w:t xml:space="preserve">To help forge meaningful connections to Churchill County’s natural and cultural heritage, strengthen community ties, and shape </w:t>
      </w:r>
      <w:r w:rsidR="005A5855">
        <w:rPr>
          <w:b w:val="0"/>
          <w:i w:val="0"/>
          <w:sz w:val="24"/>
        </w:rPr>
        <w:t>our</w:t>
      </w:r>
      <w:r w:rsidRPr="006C4D47">
        <w:rPr>
          <w:b w:val="0"/>
          <w:i w:val="0"/>
          <w:sz w:val="24"/>
        </w:rPr>
        <w:t xml:space="preserve"> future. </w:t>
      </w:r>
    </w:p>
    <w:p w14:paraId="53AF1AEC" w14:textId="77777777" w:rsidR="006C4D47" w:rsidRPr="006C4D47" w:rsidRDefault="006C4D47" w:rsidP="006C4D47">
      <w:pPr>
        <w:pStyle w:val="BodyText"/>
        <w:jc w:val="both"/>
        <w:rPr>
          <w:b w:val="0"/>
          <w:i w:val="0"/>
          <w:sz w:val="24"/>
        </w:rPr>
      </w:pPr>
    </w:p>
    <w:p w14:paraId="7FA8B82E" w14:textId="0CE8BECD" w:rsidR="006C4D47" w:rsidRPr="006C4D47" w:rsidRDefault="006C4D47" w:rsidP="006C4D47">
      <w:pPr>
        <w:pStyle w:val="BodyText"/>
        <w:jc w:val="both"/>
        <w:rPr>
          <w:b w:val="0"/>
          <w:i w:val="0"/>
          <w:sz w:val="24"/>
        </w:rPr>
      </w:pPr>
      <w:r w:rsidRPr="006C4D47">
        <w:rPr>
          <w:i w:val="0"/>
          <w:sz w:val="24"/>
        </w:rPr>
        <w:t xml:space="preserve">Vision Statement: </w:t>
      </w:r>
      <w:r w:rsidRPr="006C4D47">
        <w:rPr>
          <w:b w:val="0"/>
          <w:i w:val="0"/>
          <w:sz w:val="24"/>
        </w:rPr>
        <w:t>A</w:t>
      </w:r>
      <w:r w:rsidR="005A5855">
        <w:rPr>
          <w:b w:val="0"/>
          <w:i w:val="0"/>
          <w:sz w:val="24"/>
        </w:rPr>
        <w:t>t</w:t>
      </w:r>
      <w:r w:rsidRPr="006C4D47">
        <w:rPr>
          <w:b w:val="0"/>
          <w:i w:val="0"/>
          <w:sz w:val="24"/>
        </w:rPr>
        <w:t xml:space="preserve"> the heart of a thriving community, </w:t>
      </w:r>
      <w:r w:rsidR="00E46E3C">
        <w:rPr>
          <w:b w:val="0"/>
          <w:i w:val="0"/>
          <w:sz w:val="24"/>
        </w:rPr>
        <w:t>The Churchill County Museum (hereafter “Museum”)</w:t>
      </w:r>
      <w:r w:rsidRPr="006C4D47">
        <w:rPr>
          <w:b w:val="0"/>
          <w:i w:val="0"/>
          <w:sz w:val="24"/>
        </w:rPr>
        <w:t xml:space="preserve"> inspires generations to discover and appreciate Churchill County, ask insightful questions, exercise creativity and implement positive change</w:t>
      </w:r>
    </w:p>
    <w:p w14:paraId="06AEC4DC" w14:textId="77777777" w:rsidR="006C4D47" w:rsidRPr="006C4D47" w:rsidRDefault="006C4D47" w:rsidP="006C4D47">
      <w:pPr>
        <w:pStyle w:val="BodyText"/>
        <w:jc w:val="both"/>
        <w:rPr>
          <w:b w:val="0"/>
          <w:sz w:val="24"/>
        </w:rPr>
      </w:pPr>
    </w:p>
    <w:p w14:paraId="79C2E10B" w14:textId="77777777" w:rsidR="006C4D47" w:rsidRPr="006C4D47" w:rsidRDefault="006C4D47" w:rsidP="006C4D47">
      <w:pPr>
        <w:pStyle w:val="BodyText"/>
        <w:jc w:val="both"/>
        <w:rPr>
          <w:b w:val="0"/>
          <w:i w:val="0"/>
          <w:sz w:val="24"/>
        </w:rPr>
      </w:pPr>
      <w:r w:rsidRPr="006C4D47">
        <w:rPr>
          <w:b w:val="0"/>
          <w:i w:val="0"/>
          <w:sz w:val="24"/>
        </w:rPr>
        <w:t>--------------------------------------------------------------------------------------------------------------------</w:t>
      </w:r>
    </w:p>
    <w:p w14:paraId="44405AE2"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 xml:space="preserve">The “Museum Collection” includes the – </w:t>
      </w:r>
    </w:p>
    <w:p w14:paraId="73EB5B8D"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 xml:space="preserve">Permanent Collection  </w:t>
      </w:r>
    </w:p>
    <w:p w14:paraId="27242D0E" w14:textId="126B7566" w:rsidR="006C4D47" w:rsidRPr="006C4D47" w:rsidRDefault="005A5855" w:rsidP="006C4D47">
      <w:pPr>
        <w:ind w:firstLine="720"/>
        <w:jc w:val="both"/>
        <w:rPr>
          <w:rFonts w:ascii="Times New Roman" w:hAnsi="Times New Roman" w:cs="Times New Roman"/>
          <w:sz w:val="24"/>
        </w:rPr>
      </w:pPr>
      <w:r>
        <w:rPr>
          <w:rFonts w:ascii="Times New Roman" w:hAnsi="Times New Roman" w:cs="Times New Roman"/>
          <w:sz w:val="24"/>
        </w:rPr>
        <w:t>The permanent collection contains</w:t>
      </w:r>
      <w:r w:rsidR="006C4D47" w:rsidRPr="006C4D47">
        <w:rPr>
          <w:rFonts w:ascii="Times New Roman" w:hAnsi="Times New Roman" w:cs="Times New Roman"/>
          <w:sz w:val="24"/>
        </w:rPr>
        <w:t xml:space="preserve"> objects and cultural materials which illustrate or document the history of Churchill County as stated in the </w:t>
      </w:r>
      <w:r w:rsidR="00E46E3C">
        <w:rPr>
          <w:rFonts w:ascii="Times New Roman" w:hAnsi="Times New Roman" w:cs="Times New Roman"/>
          <w:sz w:val="24"/>
        </w:rPr>
        <w:t>M</w:t>
      </w:r>
      <w:r w:rsidR="006C4D47" w:rsidRPr="006C4D47">
        <w:rPr>
          <w:rFonts w:ascii="Times New Roman" w:hAnsi="Times New Roman" w:cs="Times New Roman"/>
          <w:sz w:val="24"/>
        </w:rPr>
        <w:t xml:space="preserve">useum’s </w:t>
      </w:r>
      <w:r>
        <w:rPr>
          <w:rFonts w:ascii="Times New Roman" w:hAnsi="Times New Roman" w:cs="Times New Roman"/>
          <w:sz w:val="24"/>
        </w:rPr>
        <w:t>Mission and Vision Statements</w:t>
      </w:r>
      <w:r w:rsidR="006C4D47" w:rsidRPr="006C4D47">
        <w:rPr>
          <w:rFonts w:ascii="Times New Roman" w:hAnsi="Times New Roman" w:cs="Times New Roman"/>
          <w:sz w:val="24"/>
        </w:rPr>
        <w:t xml:space="preserve">. These objects give insight into the history of Churchill County, the natural history of Churchill County, or the lives of residents of Churchill County </w:t>
      </w:r>
      <w:r>
        <w:rPr>
          <w:rFonts w:ascii="Times New Roman" w:hAnsi="Times New Roman" w:cs="Times New Roman"/>
          <w:sz w:val="24"/>
        </w:rPr>
        <w:t>throughout time</w:t>
      </w:r>
      <w:r w:rsidR="006C4D47" w:rsidRPr="006C4D47">
        <w:rPr>
          <w:rFonts w:ascii="Times New Roman" w:hAnsi="Times New Roman" w:cs="Times New Roman"/>
          <w:sz w:val="24"/>
        </w:rPr>
        <w:t>. The permanent collection contains three-dimensional objects, archiv</w:t>
      </w:r>
      <w:r w:rsidR="00E46E3C">
        <w:rPr>
          <w:rFonts w:ascii="Times New Roman" w:hAnsi="Times New Roman" w:cs="Times New Roman"/>
          <w:sz w:val="24"/>
        </w:rPr>
        <w:t>al materials</w:t>
      </w:r>
      <w:r w:rsidR="006C4D47" w:rsidRPr="006C4D47">
        <w:rPr>
          <w:rFonts w:ascii="Times New Roman" w:hAnsi="Times New Roman" w:cs="Times New Roman"/>
          <w:sz w:val="24"/>
        </w:rPr>
        <w:t>, and photographs that have been formally accessioned by the accession committee or found in collection.</w:t>
      </w:r>
    </w:p>
    <w:p w14:paraId="31E13D3D" w14:textId="5E97CA23" w:rsidR="006C4D47" w:rsidRPr="006C4D47" w:rsidRDefault="006C4D47" w:rsidP="006C4D47">
      <w:pPr>
        <w:ind w:firstLine="720"/>
        <w:jc w:val="both"/>
        <w:rPr>
          <w:rFonts w:ascii="Times New Roman" w:hAnsi="Times New Roman" w:cs="Times New Roman"/>
          <w:sz w:val="24"/>
        </w:rPr>
      </w:pPr>
      <w:r w:rsidRPr="006C4D47">
        <w:rPr>
          <w:rFonts w:ascii="Times New Roman" w:hAnsi="Times New Roman" w:cs="Times New Roman"/>
          <w:sz w:val="24"/>
        </w:rPr>
        <w:t xml:space="preserve">These objects are to be held in perpetuity and preserved in accordance </w:t>
      </w:r>
      <w:r w:rsidR="003A536A">
        <w:rPr>
          <w:rFonts w:ascii="Times New Roman" w:hAnsi="Times New Roman" w:cs="Times New Roman"/>
          <w:sz w:val="24"/>
        </w:rPr>
        <w:t xml:space="preserve">with </w:t>
      </w:r>
      <w:r w:rsidRPr="006C4D47">
        <w:rPr>
          <w:rFonts w:ascii="Times New Roman" w:hAnsi="Times New Roman" w:cs="Times New Roman"/>
          <w:sz w:val="24"/>
        </w:rPr>
        <w:t xml:space="preserve">accepted practice in the museum field. This includes only being handled by qualified individuals using great care and proper technique. They are only to be deaccessioned in accordance with the </w:t>
      </w:r>
      <w:r>
        <w:rPr>
          <w:rFonts w:ascii="Times New Roman" w:hAnsi="Times New Roman" w:cs="Times New Roman"/>
          <w:sz w:val="24"/>
        </w:rPr>
        <w:t xml:space="preserve">deaccession policy in section 5 of this document. </w:t>
      </w:r>
    </w:p>
    <w:p w14:paraId="28F72E1E"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Research Collection</w:t>
      </w:r>
    </w:p>
    <w:p w14:paraId="2DB11063" w14:textId="69AB5CCB" w:rsidR="006C4D47" w:rsidRPr="006C4D47" w:rsidRDefault="005A5855" w:rsidP="006C4D47">
      <w:pPr>
        <w:ind w:firstLine="720"/>
        <w:jc w:val="both"/>
        <w:rPr>
          <w:rFonts w:ascii="Times New Roman" w:hAnsi="Times New Roman" w:cs="Times New Roman"/>
          <w:sz w:val="24"/>
        </w:rPr>
      </w:pPr>
      <w:r>
        <w:rPr>
          <w:rFonts w:ascii="Times New Roman" w:hAnsi="Times New Roman" w:cs="Times New Roman"/>
          <w:sz w:val="24"/>
        </w:rPr>
        <w:t xml:space="preserve">The </w:t>
      </w:r>
      <w:r w:rsidR="006C4D47" w:rsidRPr="006C4D47">
        <w:rPr>
          <w:rFonts w:ascii="Times New Roman" w:hAnsi="Times New Roman" w:cs="Times New Roman"/>
          <w:sz w:val="24"/>
        </w:rPr>
        <w:t xml:space="preserve">research collection </w:t>
      </w:r>
      <w:r>
        <w:rPr>
          <w:rFonts w:ascii="Times New Roman" w:hAnsi="Times New Roman" w:cs="Times New Roman"/>
          <w:sz w:val="24"/>
        </w:rPr>
        <w:t>contains</w:t>
      </w:r>
      <w:r w:rsidR="006C4D47" w:rsidRPr="006C4D47">
        <w:rPr>
          <w:rFonts w:ascii="Times New Roman" w:hAnsi="Times New Roman" w:cs="Times New Roman"/>
          <w:sz w:val="24"/>
        </w:rPr>
        <w:t xml:space="preserve"> two-dimensional materials such as books, periodicals, clippings, and photographic reproductions that may be useful for research, but lack the qualifications to be accessioned as part of the permanent collections. All donated objects should first be considered for the permanent collection before being given to the</w:t>
      </w:r>
      <w:r w:rsidR="006C4D47">
        <w:rPr>
          <w:rFonts w:ascii="Times New Roman" w:hAnsi="Times New Roman" w:cs="Times New Roman"/>
          <w:sz w:val="24"/>
        </w:rPr>
        <w:t xml:space="preserve"> Research Collection.</w:t>
      </w:r>
      <w:r w:rsidR="006C4D47" w:rsidRPr="006C4D47">
        <w:rPr>
          <w:rFonts w:ascii="Times New Roman" w:hAnsi="Times New Roman" w:cs="Times New Roman"/>
          <w:sz w:val="24"/>
        </w:rPr>
        <w:t xml:space="preserve"> Good candidates for the research collection include but are not limited to more general texts, reference texts,</w:t>
      </w:r>
      <w:r w:rsidR="006C4D47">
        <w:rPr>
          <w:rFonts w:ascii="Times New Roman" w:hAnsi="Times New Roman" w:cs="Times New Roman"/>
          <w:sz w:val="24"/>
        </w:rPr>
        <w:t xml:space="preserve"> news clippings,</w:t>
      </w:r>
      <w:r w:rsidR="006C4D47" w:rsidRPr="006C4D47">
        <w:rPr>
          <w:rFonts w:ascii="Times New Roman" w:hAnsi="Times New Roman" w:cs="Times New Roman"/>
          <w:sz w:val="24"/>
        </w:rPr>
        <w:t xml:space="preserve"> or copies of texts</w:t>
      </w:r>
      <w:r w:rsidR="006C4D47">
        <w:rPr>
          <w:rFonts w:ascii="Times New Roman" w:hAnsi="Times New Roman" w:cs="Times New Roman"/>
          <w:sz w:val="24"/>
        </w:rPr>
        <w:t xml:space="preserve"> or photographs</w:t>
      </w:r>
      <w:r w:rsidR="006C4D47" w:rsidRPr="006C4D47">
        <w:rPr>
          <w:rFonts w:ascii="Times New Roman" w:hAnsi="Times New Roman" w:cs="Times New Roman"/>
          <w:sz w:val="24"/>
        </w:rPr>
        <w:t xml:space="preserve"> already in the collection. </w:t>
      </w:r>
    </w:p>
    <w:p w14:paraId="17CAC1DE" w14:textId="50936DC1" w:rsidR="006C4D47" w:rsidRPr="006C4D47" w:rsidRDefault="006C4D47" w:rsidP="005A5855">
      <w:pPr>
        <w:ind w:firstLine="720"/>
        <w:jc w:val="both"/>
        <w:rPr>
          <w:rFonts w:ascii="Times New Roman" w:hAnsi="Times New Roman" w:cs="Times New Roman"/>
          <w:sz w:val="24"/>
        </w:rPr>
      </w:pPr>
      <w:r w:rsidRPr="006C4D47">
        <w:rPr>
          <w:rFonts w:ascii="Times New Roman" w:hAnsi="Times New Roman" w:cs="Times New Roman"/>
          <w:sz w:val="24"/>
        </w:rPr>
        <w:t xml:space="preserve">The </w:t>
      </w:r>
      <w:r w:rsidR="003A536A">
        <w:rPr>
          <w:rFonts w:ascii="Times New Roman" w:hAnsi="Times New Roman" w:cs="Times New Roman"/>
          <w:sz w:val="24"/>
        </w:rPr>
        <w:t>r</w:t>
      </w:r>
      <w:r w:rsidRPr="006C4D47">
        <w:rPr>
          <w:rFonts w:ascii="Times New Roman" w:hAnsi="Times New Roman" w:cs="Times New Roman"/>
          <w:sz w:val="24"/>
        </w:rPr>
        <w:t xml:space="preserve">esearch </w:t>
      </w:r>
      <w:r w:rsidR="003A536A">
        <w:rPr>
          <w:rFonts w:ascii="Times New Roman" w:hAnsi="Times New Roman" w:cs="Times New Roman"/>
          <w:sz w:val="24"/>
        </w:rPr>
        <w:t>c</w:t>
      </w:r>
      <w:r w:rsidRPr="006C4D47">
        <w:rPr>
          <w:rFonts w:ascii="Times New Roman" w:hAnsi="Times New Roman" w:cs="Times New Roman"/>
          <w:sz w:val="24"/>
        </w:rPr>
        <w:t xml:space="preserve">ollection is intended for public use, though </w:t>
      </w:r>
      <w:r w:rsidR="003A536A">
        <w:rPr>
          <w:rFonts w:ascii="Times New Roman" w:hAnsi="Times New Roman" w:cs="Times New Roman"/>
          <w:sz w:val="24"/>
        </w:rPr>
        <w:t xml:space="preserve">items </w:t>
      </w:r>
      <w:r w:rsidRPr="006C4D47">
        <w:rPr>
          <w:rFonts w:ascii="Times New Roman" w:hAnsi="Times New Roman" w:cs="Times New Roman"/>
          <w:sz w:val="24"/>
        </w:rPr>
        <w:t>are not to leave the museum.</w:t>
      </w:r>
      <w:r w:rsidR="005A5855">
        <w:rPr>
          <w:rFonts w:ascii="Times New Roman" w:hAnsi="Times New Roman" w:cs="Times New Roman"/>
          <w:sz w:val="24"/>
        </w:rPr>
        <w:t xml:space="preserve"> They are kept inventoried by the Archives Curator and other staff, though not necessarily in as detailed or permanent a fashion as pieces in the permanent collection. </w:t>
      </w:r>
    </w:p>
    <w:p w14:paraId="587C11D3"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 xml:space="preserve">Education Collection </w:t>
      </w:r>
    </w:p>
    <w:p w14:paraId="2AC4C3FD" w14:textId="1749A581" w:rsidR="006C4D47" w:rsidRPr="006C4D47" w:rsidRDefault="003A536A" w:rsidP="006C4D47">
      <w:pPr>
        <w:ind w:firstLine="720"/>
        <w:jc w:val="both"/>
        <w:rPr>
          <w:rFonts w:ascii="Times New Roman" w:hAnsi="Times New Roman" w:cs="Times New Roman"/>
          <w:sz w:val="24"/>
        </w:rPr>
      </w:pPr>
      <w:r>
        <w:rPr>
          <w:rFonts w:ascii="Times New Roman" w:hAnsi="Times New Roman" w:cs="Times New Roman"/>
          <w:sz w:val="24"/>
        </w:rPr>
        <w:t>The e</w:t>
      </w:r>
      <w:r w:rsidR="006C4D47" w:rsidRPr="006C4D47">
        <w:rPr>
          <w:rFonts w:ascii="Times New Roman" w:hAnsi="Times New Roman" w:cs="Times New Roman"/>
          <w:sz w:val="24"/>
        </w:rPr>
        <w:t xml:space="preserve">ducation </w:t>
      </w:r>
      <w:r>
        <w:rPr>
          <w:rFonts w:ascii="Times New Roman" w:hAnsi="Times New Roman" w:cs="Times New Roman"/>
          <w:sz w:val="24"/>
        </w:rPr>
        <w:t>c</w:t>
      </w:r>
      <w:r w:rsidR="006C4D47" w:rsidRPr="006C4D47">
        <w:rPr>
          <w:rFonts w:ascii="Times New Roman" w:hAnsi="Times New Roman" w:cs="Times New Roman"/>
          <w:sz w:val="24"/>
        </w:rPr>
        <w:t xml:space="preserve">ollection </w:t>
      </w:r>
      <w:r w:rsidR="005A5855">
        <w:rPr>
          <w:rFonts w:ascii="Times New Roman" w:hAnsi="Times New Roman" w:cs="Times New Roman"/>
          <w:sz w:val="24"/>
        </w:rPr>
        <w:t>contains</w:t>
      </w:r>
      <w:r w:rsidR="006C4D47" w:rsidRPr="006C4D47">
        <w:rPr>
          <w:rFonts w:ascii="Times New Roman" w:hAnsi="Times New Roman" w:cs="Times New Roman"/>
          <w:sz w:val="24"/>
        </w:rPr>
        <w:t xml:space="preserve"> objects and cultural materials which may be considered unsuitable for the </w:t>
      </w:r>
      <w:r>
        <w:rPr>
          <w:rFonts w:ascii="Times New Roman" w:hAnsi="Times New Roman" w:cs="Times New Roman"/>
          <w:sz w:val="24"/>
        </w:rPr>
        <w:t>p</w:t>
      </w:r>
      <w:r w:rsidR="006C4D47" w:rsidRPr="006C4D47">
        <w:rPr>
          <w:rFonts w:ascii="Times New Roman" w:hAnsi="Times New Roman" w:cs="Times New Roman"/>
          <w:sz w:val="24"/>
        </w:rPr>
        <w:t xml:space="preserve">ermanent </w:t>
      </w:r>
      <w:r>
        <w:rPr>
          <w:rFonts w:ascii="Times New Roman" w:hAnsi="Times New Roman" w:cs="Times New Roman"/>
          <w:sz w:val="24"/>
        </w:rPr>
        <w:t>c</w:t>
      </w:r>
      <w:r w:rsidR="006C4D47" w:rsidRPr="006C4D47">
        <w:rPr>
          <w:rFonts w:ascii="Times New Roman" w:hAnsi="Times New Roman" w:cs="Times New Roman"/>
          <w:sz w:val="24"/>
        </w:rPr>
        <w:t>ollection, but may still be useful to the museum’s mission</w:t>
      </w:r>
      <w:r w:rsidR="006C4D47">
        <w:rPr>
          <w:rFonts w:ascii="Times New Roman" w:hAnsi="Times New Roman" w:cs="Times New Roman"/>
          <w:sz w:val="24"/>
        </w:rPr>
        <w:t>, especially when used for hands-on activities</w:t>
      </w:r>
      <w:r w:rsidR="006C4D47" w:rsidRPr="006C4D47">
        <w:rPr>
          <w:rFonts w:ascii="Times New Roman" w:hAnsi="Times New Roman" w:cs="Times New Roman"/>
          <w:sz w:val="24"/>
        </w:rPr>
        <w:t xml:space="preserve">. All donated objects should first be considered for the permanent </w:t>
      </w:r>
      <w:r w:rsidR="006C4D47" w:rsidRPr="006C4D47">
        <w:rPr>
          <w:rFonts w:ascii="Times New Roman" w:hAnsi="Times New Roman" w:cs="Times New Roman"/>
          <w:sz w:val="24"/>
        </w:rPr>
        <w:lastRenderedPageBreak/>
        <w:t xml:space="preserve">collection before being given to the education collection, though education objects can also be purchased or made specifically to be education objects. Reproductions, designated objects from a similar group of specimens or objects, and objects in poor or deteriorated conditions </w:t>
      </w:r>
      <w:r w:rsidR="005A5855">
        <w:rPr>
          <w:rFonts w:ascii="Times New Roman" w:hAnsi="Times New Roman" w:cs="Times New Roman"/>
          <w:sz w:val="24"/>
        </w:rPr>
        <w:t>which</w:t>
      </w:r>
      <w:r w:rsidR="006C4D47" w:rsidRPr="006C4D47">
        <w:rPr>
          <w:rFonts w:ascii="Times New Roman" w:hAnsi="Times New Roman" w:cs="Times New Roman"/>
          <w:sz w:val="24"/>
        </w:rPr>
        <w:t xml:space="preserve"> may still be useful to research </w:t>
      </w:r>
      <w:r w:rsidR="006C4D47">
        <w:rPr>
          <w:rFonts w:ascii="Times New Roman" w:hAnsi="Times New Roman" w:cs="Times New Roman"/>
          <w:sz w:val="24"/>
        </w:rPr>
        <w:t xml:space="preserve">or demonstration uses </w:t>
      </w:r>
      <w:r w:rsidR="006C4D47" w:rsidRPr="006C4D47">
        <w:rPr>
          <w:rFonts w:ascii="Times New Roman" w:hAnsi="Times New Roman" w:cs="Times New Roman"/>
          <w:sz w:val="24"/>
        </w:rPr>
        <w:t>may all be good candidates for the education collection.</w:t>
      </w:r>
    </w:p>
    <w:p w14:paraId="599F8FCF" w14:textId="607D6228" w:rsidR="006C4D47" w:rsidRPr="006C4D47" w:rsidRDefault="006C4D47" w:rsidP="006C4D47">
      <w:pPr>
        <w:ind w:firstLine="720"/>
        <w:jc w:val="both"/>
        <w:rPr>
          <w:rFonts w:ascii="Times New Roman" w:hAnsi="Times New Roman" w:cs="Times New Roman"/>
          <w:sz w:val="24"/>
        </w:rPr>
      </w:pPr>
      <w:r w:rsidRPr="006C4D47">
        <w:rPr>
          <w:rFonts w:ascii="Times New Roman" w:hAnsi="Times New Roman" w:cs="Times New Roman"/>
          <w:sz w:val="24"/>
        </w:rPr>
        <w:t xml:space="preserve">These objects </w:t>
      </w:r>
      <w:r w:rsidR="00180591">
        <w:rPr>
          <w:rFonts w:ascii="Times New Roman" w:hAnsi="Times New Roman" w:cs="Times New Roman"/>
          <w:sz w:val="24"/>
        </w:rPr>
        <w:t>may</w:t>
      </w:r>
      <w:r w:rsidRPr="006C4D47">
        <w:rPr>
          <w:rFonts w:ascii="Times New Roman" w:hAnsi="Times New Roman" w:cs="Times New Roman"/>
          <w:sz w:val="24"/>
        </w:rPr>
        <w:t xml:space="preserve"> be handled by the public, and though some care should be given to these objects they need not be as tightly controlled as objects in the permanent collection. Objects in the education collection are under the care of the Education </w:t>
      </w:r>
      <w:r w:rsidR="00180591">
        <w:rPr>
          <w:rFonts w:ascii="Times New Roman" w:hAnsi="Times New Roman" w:cs="Times New Roman"/>
          <w:sz w:val="24"/>
        </w:rPr>
        <w:t>C</w:t>
      </w:r>
      <w:r w:rsidRPr="006C4D47">
        <w:rPr>
          <w:rFonts w:ascii="Times New Roman" w:hAnsi="Times New Roman" w:cs="Times New Roman"/>
          <w:sz w:val="24"/>
        </w:rPr>
        <w:t xml:space="preserve">urator and under their discretion. These objects are to be numbered and catalogued to aid in their use, but are not considered accessioned. </w:t>
      </w:r>
    </w:p>
    <w:p w14:paraId="595CDC4D"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Display Collection</w:t>
      </w:r>
    </w:p>
    <w:p w14:paraId="5A7C6996" w14:textId="145E1F85" w:rsidR="006C4D47" w:rsidRPr="006C4D47" w:rsidRDefault="006C4D47" w:rsidP="006C4D47">
      <w:pPr>
        <w:rPr>
          <w:rFonts w:ascii="Times New Roman" w:hAnsi="Times New Roman" w:cs="Times New Roman"/>
          <w:sz w:val="24"/>
        </w:rPr>
      </w:pPr>
      <w:r w:rsidRPr="006C4D47">
        <w:rPr>
          <w:rFonts w:ascii="Times New Roman" w:hAnsi="Times New Roman" w:cs="Times New Roman"/>
          <w:b/>
          <w:sz w:val="24"/>
        </w:rPr>
        <w:tab/>
      </w:r>
      <w:r w:rsidRPr="006C4D47">
        <w:rPr>
          <w:rFonts w:ascii="Times New Roman" w:hAnsi="Times New Roman" w:cs="Times New Roman"/>
          <w:sz w:val="24"/>
        </w:rPr>
        <w:t xml:space="preserve">The purpose of the display collection is to collect objects that aid in the exhibition of other objects, but have little to no value of their own. These may include objects like mannequins, cases, frames, and stands. </w:t>
      </w:r>
      <w:r w:rsidRPr="006C4D47">
        <w:rPr>
          <w:rFonts w:ascii="Times New Roman" w:hAnsi="Times New Roman" w:cs="Times New Roman"/>
          <w:sz w:val="24"/>
        </w:rPr>
        <w:br/>
      </w:r>
      <w:r w:rsidRPr="006C4D47">
        <w:rPr>
          <w:rFonts w:ascii="Times New Roman" w:hAnsi="Times New Roman" w:cs="Times New Roman"/>
          <w:sz w:val="24"/>
        </w:rPr>
        <w:tab/>
        <w:t>These objects need not be numbered or inventoried, but if they are for tracking purposes they are to be given a number beginning with “0--"</w:t>
      </w:r>
      <w:r w:rsidR="00F2540F">
        <w:rPr>
          <w:rFonts w:ascii="Times New Roman" w:hAnsi="Times New Roman" w:cs="Times New Roman"/>
          <w:sz w:val="24"/>
        </w:rPr>
        <w:t xml:space="preserve"> [Zero followed by 2 n-dashes]</w:t>
      </w:r>
    </w:p>
    <w:p w14:paraId="71EB83BE" w14:textId="77777777" w:rsidR="006C4D47" w:rsidRPr="006C4D47" w:rsidRDefault="006C4D47" w:rsidP="006C4D47">
      <w:pPr>
        <w:jc w:val="both"/>
        <w:rPr>
          <w:rFonts w:ascii="Times New Roman" w:hAnsi="Times New Roman" w:cs="Times New Roman"/>
          <w:sz w:val="24"/>
        </w:rPr>
      </w:pPr>
    </w:p>
    <w:p w14:paraId="732A1192" w14:textId="77777777" w:rsidR="006C4D47" w:rsidRPr="003A536A" w:rsidRDefault="006C4D47" w:rsidP="006C4D47">
      <w:pPr>
        <w:ind w:firstLine="720"/>
        <w:jc w:val="center"/>
        <w:rPr>
          <w:rFonts w:ascii="Times New Roman" w:hAnsi="Times New Roman" w:cs="Times New Roman"/>
          <w:b/>
          <w:bCs/>
          <w:sz w:val="28"/>
        </w:rPr>
      </w:pPr>
      <w:r w:rsidRPr="003A536A">
        <w:rPr>
          <w:rFonts w:ascii="Times New Roman" w:hAnsi="Times New Roman" w:cs="Times New Roman"/>
          <w:b/>
          <w:bCs/>
          <w:sz w:val="28"/>
        </w:rPr>
        <w:t>2 - Methods of Acquisition</w:t>
      </w:r>
    </w:p>
    <w:p w14:paraId="2FF1107E"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1.   Acquisition by Donation:</w:t>
      </w:r>
    </w:p>
    <w:p w14:paraId="4E126E64" w14:textId="3A922D49" w:rsidR="006C4D47" w:rsidRPr="006C4D47" w:rsidRDefault="006C4D47" w:rsidP="006C4D47">
      <w:pPr>
        <w:numPr>
          <w:ilvl w:val="0"/>
          <w:numId w:val="1"/>
        </w:numPr>
        <w:spacing w:after="0" w:line="240" w:lineRule="auto"/>
        <w:jc w:val="both"/>
        <w:rPr>
          <w:rFonts w:ascii="Times New Roman" w:hAnsi="Times New Roman" w:cs="Times New Roman"/>
          <w:sz w:val="24"/>
        </w:rPr>
      </w:pPr>
      <w:r w:rsidRPr="006C4D47">
        <w:rPr>
          <w:rFonts w:ascii="Times New Roman" w:hAnsi="Times New Roman" w:cs="Times New Roman"/>
          <w:sz w:val="24"/>
        </w:rPr>
        <w:t>All items offered to the museum for consideration for its collection shall be receipted with an Incoming Package Form. The proper paperwork will be processed for all items a</w:t>
      </w:r>
      <w:r w:rsidR="00180591">
        <w:rPr>
          <w:rFonts w:ascii="Times New Roman" w:hAnsi="Times New Roman" w:cs="Times New Roman"/>
          <w:sz w:val="24"/>
        </w:rPr>
        <w:t>ss</w:t>
      </w:r>
      <w:r w:rsidRPr="006C4D47">
        <w:rPr>
          <w:rFonts w:ascii="Times New Roman" w:hAnsi="Times New Roman" w:cs="Times New Roman"/>
          <w:sz w:val="24"/>
        </w:rPr>
        <w:t xml:space="preserve">essed by the Accession Committee.  Items not accepted into the collection will be dealt with as per the wishes of the prospective donors.  </w:t>
      </w:r>
    </w:p>
    <w:p w14:paraId="3421CA25" w14:textId="77777777" w:rsidR="006C4D47" w:rsidRPr="006C4D47" w:rsidRDefault="006C4D47" w:rsidP="006C4D47">
      <w:pPr>
        <w:spacing w:after="0" w:line="240" w:lineRule="auto"/>
        <w:ind w:left="720"/>
        <w:jc w:val="both"/>
        <w:rPr>
          <w:rFonts w:ascii="Times New Roman" w:hAnsi="Times New Roman" w:cs="Times New Roman"/>
          <w:sz w:val="24"/>
        </w:rPr>
      </w:pPr>
    </w:p>
    <w:p w14:paraId="41C16E96" w14:textId="543B3E32" w:rsidR="006C4D47" w:rsidRDefault="006C4D47" w:rsidP="006C4D47">
      <w:pPr>
        <w:numPr>
          <w:ilvl w:val="0"/>
          <w:numId w:val="1"/>
        </w:numPr>
        <w:spacing w:after="0" w:line="240" w:lineRule="auto"/>
        <w:jc w:val="both"/>
        <w:rPr>
          <w:rFonts w:ascii="Times New Roman" w:hAnsi="Times New Roman" w:cs="Times New Roman"/>
          <w:sz w:val="24"/>
        </w:rPr>
      </w:pPr>
      <w:r w:rsidRPr="006C4D47">
        <w:rPr>
          <w:rFonts w:ascii="Times New Roman" w:hAnsi="Times New Roman" w:cs="Times New Roman"/>
          <w:sz w:val="24"/>
        </w:rPr>
        <w:t>The Churchill County Museum Association is a non-profit organization</w:t>
      </w:r>
      <w:r w:rsidR="00180591">
        <w:rPr>
          <w:rFonts w:ascii="Times New Roman" w:hAnsi="Times New Roman" w:cs="Times New Roman"/>
          <w:sz w:val="24"/>
        </w:rPr>
        <w:t>, and so object</w:t>
      </w:r>
      <w:r w:rsidRPr="006C4D47">
        <w:rPr>
          <w:rFonts w:ascii="Times New Roman" w:hAnsi="Times New Roman" w:cs="Times New Roman"/>
          <w:sz w:val="24"/>
        </w:rPr>
        <w:t xml:space="preserve"> donor</w:t>
      </w:r>
      <w:r w:rsidR="00180591">
        <w:rPr>
          <w:rFonts w:ascii="Times New Roman" w:hAnsi="Times New Roman" w:cs="Times New Roman"/>
          <w:sz w:val="24"/>
        </w:rPr>
        <w:t>s</w:t>
      </w:r>
      <w:r w:rsidRPr="006C4D47">
        <w:rPr>
          <w:rFonts w:ascii="Times New Roman" w:hAnsi="Times New Roman" w:cs="Times New Roman"/>
          <w:sz w:val="24"/>
        </w:rPr>
        <w:t xml:space="preserve"> may be eligible for state and federal tax benefits, however, due to the changing nature of tax laws, a donor is encouraged to seek qualified tax advice on this matter.</w:t>
      </w:r>
    </w:p>
    <w:p w14:paraId="7FCDF2D4" w14:textId="77777777" w:rsidR="00C45FE9" w:rsidRPr="00C45FE9" w:rsidRDefault="00C45FE9" w:rsidP="00C45FE9">
      <w:pPr>
        <w:spacing w:after="0" w:line="240" w:lineRule="auto"/>
        <w:jc w:val="both"/>
        <w:rPr>
          <w:rFonts w:ascii="Times New Roman" w:hAnsi="Times New Roman" w:cs="Times New Roman"/>
          <w:sz w:val="24"/>
        </w:rPr>
      </w:pPr>
    </w:p>
    <w:p w14:paraId="34BC5AF7" w14:textId="7C051E54" w:rsidR="006C4D47" w:rsidRPr="006C4D47" w:rsidRDefault="006C4D47" w:rsidP="006C4D47">
      <w:pPr>
        <w:numPr>
          <w:ilvl w:val="0"/>
          <w:numId w:val="1"/>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It is the policy of the museum not to provide an appraisal for any person or purpose.  An appraisal by the museum could represent a conflict of interest on the part of staff members and the museum. </w:t>
      </w:r>
      <w:r w:rsidR="00180591">
        <w:rPr>
          <w:rFonts w:ascii="Times New Roman" w:hAnsi="Times New Roman" w:cs="Times New Roman"/>
          <w:sz w:val="24"/>
        </w:rPr>
        <w:t>If the donor wishes for a monetary value on their donation for tax purposes, it</w:t>
      </w:r>
      <w:r w:rsidRPr="006C4D47">
        <w:rPr>
          <w:rFonts w:ascii="Times New Roman" w:hAnsi="Times New Roman" w:cs="Times New Roman"/>
          <w:sz w:val="24"/>
        </w:rPr>
        <w:t xml:space="preserve"> is recommended that a qualified appraiser conduct appraisals before the donation is conveyed to the museum.</w:t>
      </w:r>
    </w:p>
    <w:p w14:paraId="66CEDD3F" w14:textId="77777777" w:rsidR="006C4D47" w:rsidRPr="006C4D47" w:rsidRDefault="006C4D47" w:rsidP="006C4D47">
      <w:pPr>
        <w:jc w:val="both"/>
        <w:rPr>
          <w:rFonts w:ascii="Times New Roman" w:hAnsi="Times New Roman" w:cs="Times New Roman"/>
          <w:b/>
          <w:sz w:val="24"/>
        </w:rPr>
      </w:pPr>
    </w:p>
    <w:p w14:paraId="290AA0EA" w14:textId="77777777"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2.    Acquisition by Purchase:</w:t>
      </w:r>
    </w:p>
    <w:p w14:paraId="17CC017C" w14:textId="4FFFC4C7" w:rsidR="006C4D47" w:rsidRPr="006C4D47" w:rsidRDefault="006C4D47" w:rsidP="006C4D47">
      <w:pPr>
        <w:pStyle w:val="BodyTextIndent"/>
        <w:ind w:firstLine="450"/>
      </w:pPr>
      <w:r w:rsidRPr="006C4D47">
        <w:t>Objects for the museum’s collection may be purchased</w:t>
      </w:r>
      <w:r w:rsidR="00722284">
        <w:t xml:space="preserve"> under the authority of the director</w:t>
      </w:r>
      <w:r w:rsidRPr="006C4D47">
        <w:t>, provided they fall within the museum’s collecting guidelines</w:t>
      </w:r>
      <w:r w:rsidR="003A536A">
        <w:t>. Purchases over $1000 must be</w:t>
      </w:r>
      <w:r w:rsidRPr="006C4D47">
        <w:t xml:space="preserve"> approved of by the Board of Trustees.</w:t>
      </w:r>
    </w:p>
    <w:p w14:paraId="0861A8AC" w14:textId="6F072B2E" w:rsidR="006C4D47" w:rsidRDefault="006C4D47" w:rsidP="006C4D47">
      <w:pPr>
        <w:jc w:val="both"/>
        <w:rPr>
          <w:rFonts w:ascii="Times New Roman" w:hAnsi="Times New Roman" w:cs="Times New Roman"/>
          <w:sz w:val="24"/>
        </w:rPr>
      </w:pPr>
    </w:p>
    <w:p w14:paraId="01107F7F" w14:textId="77777777" w:rsidR="003A536A" w:rsidRPr="006C4D47" w:rsidRDefault="003A536A" w:rsidP="006C4D47">
      <w:pPr>
        <w:jc w:val="both"/>
        <w:rPr>
          <w:rFonts w:ascii="Times New Roman" w:hAnsi="Times New Roman" w:cs="Times New Roman"/>
          <w:sz w:val="24"/>
        </w:rPr>
      </w:pPr>
    </w:p>
    <w:p w14:paraId="259091EC" w14:textId="2DD4E653" w:rsid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lastRenderedPageBreak/>
        <w:t>3.    Acquisition by Trade:</w:t>
      </w:r>
    </w:p>
    <w:p w14:paraId="5B94B752" w14:textId="6E09C9BE" w:rsidR="00722284" w:rsidRPr="00180591" w:rsidRDefault="00722284" w:rsidP="006C4D47">
      <w:pPr>
        <w:jc w:val="both"/>
        <w:rPr>
          <w:rFonts w:ascii="Times New Roman" w:hAnsi="Times New Roman" w:cs="Times New Roman"/>
          <w:sz w:val="24"/>
        </w:rPr>
      </w:pPr>
      <w:r>
        <w:rPr>
          <w:rFonts w:ascii="Times New Roman" w:hAnsi="Times New Roman" w:cs="Times New Roman"/>
          <w:sz w:val="24"/>
        </w:rPr>
        <w:t>Trades</w:t>
      </w:r>
      <w:r w:rsidR="00180591">
        <w:rPr>
          <w:rFonts w:ascii="Times New Roman" w:hAnsi="Times New Roman" w:cs="Times New Roman"/>
          <w:sz w:val="24"/>
        </w:rPr>
        <w:t xml:space="preserve"> should</w:t>
      </w:r>
      <w:r>
        <w:rPr>
          <w:rFonts w:ascii="Times New Roman" w:hAnsi="Times New Roman" w:cs="Times New Roman"/>
          <w:sz w:val="24"/>
        </w:rPr>
        <w:t xml:space="preserve"> </w:t>
      </w:r>
      <w:r w:rsidR="00180591">
        <w:rPr>
          <w:rFonts w:ascii="Times New Roman" w:hAnsi="Times New Roman" w:cs="Times New Roman"/>
          <w:sz w:val="24"/>
        </w:rPr>
        <w:t>typically</w:t>
      </w:r>
      <w:r>
        <w:rPr>
          <w:rFonts w:ascii="Times New Roman" w:hAnsi="Times New Roman" w:cs="Times New Roman"/>
          <w:sz w:val="24"/>
        </w:rPr>
        <w:t xml:space="preserve"> be done with other public and cultural institutions, preferably other museums. </w:t>
      </w:r>
      <w:r w:rsidR="00180591">
        <w:rPr>
          <w:rFonts w:ascii="Times New Roman" w:hAnsi="Times New Roman" w:cs="Times New Roman"/>
          <w:sz w:val="24"/>
        </w:rPr>
        <w:t xml:space="preserve">Under rare circumstances, trades may be made with private collectors, but this must be done with caution as permanent collection objects are held in public trust.  </w:t>
      </w:r>
      <w:r>
        <w:rPr>
          <w:rFonts w:ascii="Times New Roman" w:hAnsi="Times New Roman" w:cs="Times New Roman"/>
          <w:sz w:val="24"/>
        </w:rPr>
        <w:t>See section 5 for more details.</w:t>
      </w:r>
    </w:p>
    <w:p w14:paraId="363AD07E" w14:textId="77777777" w:rsidR="006C4D47" w:rsidRPr="006C4D47" w:rsidRDefault="006C4D47" w:rsidP="006C4D47">
      <w:pPr>
        <w:numPr>
          <w:ilvl w:val="0"/>
          <w:numId w:val="5"/>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An artifact to be traded </w:t>
      </w:r>
      <w:r w:rsidRPr="006C4D47">
        <w:rPr>
          <w:rFonts w:ascii="Times New Roman" w:hAnsi="Times New Roman" w:cs="Times New Roman"/>
          <w:sz w:val="24"/>
          <w:u w:val="single"/>
        </w:rPr>
        <w:t>into</w:t>
      </w:r>
      <w:r w:rsidRPr="006C4D47">
        <w:rPr>
          <w:rFonts w:ascii="Times New Roman" w:hAnsi="Times New Roman" w:cs="Times New Roman"/>
          <w:sz w:val="24"/>
        </w:rPr>
        <w:t xml:space="preserve"> the museum collection must relate to </w:t>
      </w:r>
      <w:smartTag w:uri="urn:schemas-microsoft-com:office:smarttags" w:element="place">
        <w:smartTag w:uri="urn:schemas-microsoft-com:office:smarttags" w:element="PlaceName">
          <w:r w:rsidRPr="006C4D47">
            <w:rPr>
              <w:rFonts w:ascii="Times New Roman" w:hAnsi="Times New Roman" w:cs="Times New Roman"/>
              <w:sz w:val="24"/>
            </w:rPr>
            <w:t>Churchill</w:t>
          </w:r>
        </w:smartTag>
        <w:r w:rsidRPr="006C4D47">
          <w:rPr>
            <w:rFonts w:ascii="Times New Roman" w:hAnsi="Times New Roman" w:cs="Times New Roman"/>
            <w:sz w:val="24"/>
          </w:rPr>
          <w:t xml:space="preserve"> </w:t>
        </w:r>
        <w:smartTag w:uri="urn:schemas-microsoft-com:office:smarttags" w:element="PlaceType">
          <w:r w:rsidRPr="006C4D47">
            <w:rPr>
              <w:rFonts w:ascii="Times New Roman" w:hAnsi="Times New Roman" w:cs="Times New Roman"/>
              <w:sz w:val="24"/>
            </w:rPr>
            <w:t>County</w:t>
          </w:r>
        </w:smartTag>
      </w:smartTag>
      <w:r w:rsidRPr="006C4D47">
        <w:rPr>
          <w:rFonts w:ascii="Times New Roman" w:hAnsi="Times New Roman" w:cs="Times New Roman"/>
          <w:sz w:val="24"/>
        </w:rPr>
        <w:t xml:space="preserve"> history and the museum’s Statement of Purpose and should not be a duplicate of an item already in the collection.</w:t>
      </w:r>
    </w:p>
    <w:p w14:paraId="095D4FBD" w14:textId="77777777" w:rsidR="006C4D47" w:rsidRPr="006C4D47" w:rsidRDefault="006C4D47" w:rsidP="006C4D47">
      <w:pPr>
        <w:ind w:left="360"/>
        <w:jc w:val="both"/>
        <w:rPr>
          <w:rFonts w:ascii="Times New Roman" w:hAnsi="Times New Roman" w:cs="Times New Roman"/>
          <w:sz w:val="24"/>
        </w:rPr>
      </w:pPr>
    </w:p>
    <w:p w14:paraId="5BC8B098" w14:textId="088D7144" w:rsidR="006C4D47" w:rsidRPr="006C4D47" w:rsidRDefault="006C4D47" w:rsidP="006C4D47">
      <w:pPr>
        <w:numPr>
          <w:ilvl w:val="0"/>
          <w:numId w:val="5"/>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An artifact that could be traded </w:t>
      </w:r>
      <w:r w:rsidRPr="006C4D47">
        <w:rPr>
          <w:rFonts w:ascii="Times New Roman" w:hAnsi="Times New Roman" w:cs="Times New Roman"/>
          <w:sz w:val="24"/>
          <w:u w:val="single"/>
        </w:rPr>
        <w:t>from</w:t>
      </w:r>
      <w:r w:rsidRPr="006C4D47">
        <w:rPr>
          <w:rFonts w:ascii="Times New Roman" w:hAnsi="Times New Roman" w:cs="Times New Roman"/>
          <w:sz w:val="24"/>
        </w:rPr>
        <w:t xml:space="preserve"> the museum collection is to be considered deaccessioned and must follow deaccessioning procedures as outlined </w:t>
      </w:r>
      <w:r>
        <w:rPr>
          <w:rFonts w:ascii="Times New Roman" w:hAnsi="Times New Roman" w:cs="Times New Roman"/>
          <w:sz w:val="24"/>
        </w:rPr>
        <w:t xml:space="preserve">in section 5 of this document. </w:t>
      </w:r>
      <w:r w:rsidRPr="006C4D47">
        <w:rPr>
          <w:rFonts w:ascii="Times New Roman" w:hAnsi="Times New Roman" w:cs="Times New Roman"/>
          <w:sz w:val="24"/>
        </w:rPr>
        <w:t xml:space="preserve">In considering a trade request, the board shall discuss the donor, artifact, and trade item in order to come to a decision regarding the trade.  </w:t>
      </w:r>
    </w:p>
    <w:p w14:paraId="3D2B9421" w14:textId="77777777" w:rsidR="006C4D47" w:rsidRPr="006C4D47" w:rsidRDefault="006C4D47" w:rsidP="006C4D47">
      <w:pPr>
        <w:jc w:val="both"/>
        <w:rPr>
          <w:rFonts w:ascii="Times New Roman" w:hAnsi="Times New Roman" w:cs="Times New Roman"/>
          <w:sz w:val="24"/>
        </w:rPr>
      </w:pPr>
    </w:p>
    <w:p w14:paraId="4BDE98D1" w14:textId="33672C01" w:rsidR="006C4D47" w:rsidRPr="006C4D47" w:rsidRDefault="006C4D47" w:rsidP="006C4D47">
      <w:pPr>
        <w:numPr>
          <w:ilvl w:val="0"/>
          <w:numId w:val="5"/>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The monetary value of artifacts to be traded by both parties is not the primary concern of the museum. The object’s relevance to Churchill County history and </w:t>
      </w:r>
      <w:r w:rsidR="00180591">
        <w:rPr>
          <w:rFonts w:ascii="Times New Roman" w:hAnsi="Times New Roman" w:cs="Times New Roman"/>
          <w:sz w:val="24"/>
        </w:rPr>
        <w:t>the Museum’s mission</w:t>
      </w:r>
      <w:r w:rsidRPr="006C4D47">
        <w:rPr>
          <w:rFonts w:ascii="Times New Roman" w:hAnsi="Times New Roman" w:cs="Times New Roman"/>
          <w:sz w:val="24"/>
        </w:rPr>
        <w:t xml:space="preserve"> are the main concerns.</w:t>
      </w:r>
    </w:p>
    <w:p w14:paraId="5BF0A135" w14:textId="77777777" w:rsidR="006C4D47" w:rsidRPr="006C4D47" w:rsidRDefault="006C4D47" w:rsidP="006C4D47">
      <w:pPr>
        <w:jc w:val="both"/>
        <w:rPr>
          <w:rFonts w:ascii="Times New Roman" w:hAnsi="Times New Roman" w:cs="Times New Roman"/>
          <w:b/>
          <w:sz w:val="24"/>
        </w:rPr>
      </w:pPr>
    </w:p>
    <w:p w14:paraId="39654313" w14:textId="77777777" w:rsidR="006C4D47" w:rsidRPr="006C4D47" w:rsidRDefault="006C4D47" w:rsidP="006C4D47">
      <w:pPr>
        <w:jc w:val="center"/>
        <w:rPr>
          <w:rFonts w:ascii="Times New Roman" w:hAnsi="Times New Roman" w:cs="Times New Roman"/>
          <w:b/>
          <w:sz w:val="28"/>
          <w:szCs w:val="28"/>
        </w:rPr>
      </w:pPr>
      <w:r w:rsidRPr="006C4D47">
        <w:rPr>
          <w:rFonts w:ascii="Times New Roman" w:hAnsi="Times New Roman" w:cs="Times New Roman"/>
          <w:b/>
          <w:sz w:val="28"/>
          <w:szCs w:val="28"/>
        </w:rPr>
        <w:t>3 - Accessioning Guidelines</w:t>
      </w:r>
    </w:p>
    <w:p w14:paraId="7CCAFB0D" w14:textId="5BAE2124" w:rsidR="006C4D47" w:rsidRPr="006C4D47" w:rsidRDefault="006C4D47" w:rsidP="006C4D47">
      <w:pPr>
        <w:pStyle w:val="ListParagraph"/>
        <w:numPr>
          <w:ilvl w:val="0"/>
          <w:numId w:val="6"/>
        </w:numPr>
        <w:rPr>
          <w:rFonts w:ascii="Times New Roman" w:hAnsi="Times New Roman" w:cs="Times New Roman"/>
          <w:sz w:val="24"/>
          <w:szCs w:val="24"/>
        </w:rPr>
      </w:pPr>
      <w:r w:rsidRPr="006C4D47">
        <w:rPr>
          <w:rFonts w:ascii="Times New Roman" w:hAnsi="Times New Roman" w:cs="Times New Roman"/>
          <w:sz w:val="24"/>
        </w:rPr>
        <w:t xml:space="preserve">Objects offered for consideration to the museum for its collections shall be recorded, with an incoming package request whenever possible. These items will then be presented to the accession committee for approval. </w:t>
      </w:r>
    </w:p>
    <w:p w14:paraId="423A570B" w14:textId="77777777" w:rsidR="006C4D47" w:rsidRPr="006C4D47" w:rsidRDefault="006C4D47" w:rsidP="006C4D47">
      <w:pPr>
        <w:pStyle w:val="ListParagraph"/>
        <w:rPr>
          <w:rFonts w:ascii="Times New Roman" w:hAnsi="Times New Roman" w:cs="Times New Roman"/>
          <w:sz w:val="24"/>
          <w:szCs w:val="24"/>
        </w:rPr>
      </w:pPr>
    </w:p>
    <w:p w14:paraId="120E290C" w14:textId="348A59E4" w:rsidR="006C4D47" w:rsidRPr="006C4D47" w:rsidRDefault="006C4D47" w:rsidP="006C4D47">
      <w:pPr>
        <w:pStyle w:val="ListParagraph"/>
        <w:numPr>
          <w:ilvl w:val="0"/>
          <w:numId w:val="6"/>
        </w:numPr>
        <w:rPr>
          <w:rFonts w:ascii="Times New Roman" w:hAnsi="Times New Roman" w:cs="Times New Roman"/>
          <w:sz w:val="24"/>
          <w:szCs w:val="24"/>
        </w:rPr>
      </w:pPr>
      <w:r w:rsidRPr="006C4D47">
        <w:rPr>
          <w:rFonts w:ascii="Times New Roman" w:hAnsi="Times New Roman" w:cs="Times New Roman"/>
          <w:sz w:val="24"/>
        </w:rPr>
        <w:t>The accession committee shall consist of two members of the Churchill County Museum Association (CCMA) Board of Trustees, the Museum Director, and the Museum Registrar.</w:t>
      </w:r>
      <w:r w:rsidR="003A536A">
        <w:rPr>
          <w:rFonts w:ascii="Times New Roman" w:hAnsi="Times New Roman" w:cs="Times New Roman"/>
          <w:sz w:val="24"/>
        </w:rPr>
        <w:t xml:space="preserve"> It may also contain a limited number of interested and qualified volunteers.</w:t>
      </w:r>
      <w:r w:rsidRPr="006C4D47">
        <w:rPr>
          <w:rFonts w:ascii="Times New Roman" w:hAnsi="Times New Roman" w:cs="Times New Roman"/>
          <w:sz w:val="24"/>
        </w:rPr>
        <w:t xml:space="preserve"> They are to meet monthly to go over all new acquisition</w:t>
      </w:r>
      <w:r w:rsidR="00E46E3C">
        <w:rPr>
          <w:rFonts w:ascii="Times New Roman" w:hAnsi="Times New Roman" w:cs="Times New Roman"/>
          <w:sz w:val="24"/>
        </w:rPr>
        <w:t>s</w:t>
      </w:r>
      <w:r w:rsidRPr="006C4D47">
        <w:rPr>
          <w:rFonts w:ascii="Times New Roman" w:hAnsi="Times New Roman" w:cs="Times New Roman"/>
          <w:sz w:val="24"/>
        </w:rPr>
        <w:t xml:space="preserve">. </w:t>
      </w:r>
    </w:p>
    <w:p w14:paraId="4EC1C72F" w14:textId="77777777" w:rsidR="006C4D47" w:rsidRPr="006C4D47" w:rsidRDefault="006C4D47" w:rsidP="006C4D47">
      <w:pPr>
        <w:pStyle w:val="ListParagraph"/>
        <w:rPr>
          <w:rFonts w:ascii="Times New Roman" w:hAnsi="Times New Roman" w:cs="Times New Roman"/>
          <w:sz w:val="24"/>
          <w:szCs w:val="24"/>
        </w:rPr>
      </w:pPr>
    </w:p>
    <w:p w14:paraId="444966A2" w14:textId="77777777" w:rsidR="006C4D47" w:rsidRPr="006C4D47" w:rsidRDefault="006C4D47" w:rsidP="006C4D47">
      <w:pPr>
        <w:pStyle w:val="ListParagraph"/>
        <w:numPr>
          <w:ilvl w:val="0"/>
          <w:numId w:val="6"/>
        </w:numPr>
        <w:rPr>
          <w:rFonts w:ascii="Times New Roman" w:hAnsi="Times New Roman" w:cs="Times New Roman"/>
          <w:sz w:val="24"/>
          <w:szCs w:val="24"/>
        </w:rPr>
      </w:pPr>
      <w:r w:rsidRPr="006C4D47">
        <w:rPr>
          <w:rFonts w:ascii="Times New Roman" w:hAnsi="Times New Roman" w:cs="Times New Roman"/>
          <w:sz w:val="24"/>
        </w:rPr>
        <w:t xml:space="preserve">  The committee will use the information in section 1 – Definitions to make decisions on which collections, if any, for which donated objects are to be recommended. It is also to be noted that: </w:t>
      </w:r>
    </w:p>
    <w:p w14:paraId="4EF3344F" w14:textId="575CDAD8" w:rsidR="006C4D47" w:rsidRPr="006C4D47" w:rsidRDefault="006C4D47" w:rsidP="006C4D47">
      <w:pPr>
        <w:pStyle w:val="ListParagraph"/>
        <w:numPr>
          <w:ilvl w:val="1"/>
          <w:numId w:val="6"/>
        </w:numPr>
        <w:spacing w:after="0" w:line="240" w:lineRule="auto"/>
        <w:jc w:val="both"/>
        <w:rPr>
          <w:rFonts w:ascii="Times New Roman" w:hAnsi="Times New Roman" w:cs="Times New Roman"/>
          <w:sz w:val="24"/>
        </w:rPr>
      </w:pPr>
      <w:r w:rsidRPr="006C4D47">
        <w:rPr>
          <w:rFonts w:ascii="Times New Roman" w:hAnsi="Times New Roman" w:cs="Times New Roman"/>
          <w:sz w:val="24"/>
        </w:rPr>
        <w:t>It is the museum’s policy</w:t>
      </w:r>
      <w:r w:rsidR="003A536A">
        <w:rPr>
          <w:rFonts w:ascii="Times New Roman" w:hAnsi="Times New Roman" w:cs="Times New Roman"/>
          <w:sz w:val="24"/>
        </w:rPr>
        <w:t xml:space="preserve"> to </w:t>
      </w:r>
      <w:r w:rsidR="00180591">
        <w:rPr>
          <w:rFonts w:ascii="Times New Roman" w:hAnsi="Times New Roman" w:cs="Times New Roman"/>
          <w:sz w:val="24"/>
        </w:rPr>
        <w:t xml:space="preserve">seek </w:t>
      </w:r>
      <w:r w:rsidRPr="006C4D47">
        <w:rPr>
          <w:rFonts w:ascii="Times New Roman" w:hAnsi="Times New Roman" w:cs="Times New Roman"/>
          <w:sz w:val="24"/>
        </w:rPr>
        <w:t>outright</w:t>
      </w:r>
      <w:r w:rsidR="00180591">
        <w:rPr>
          <w:rFonts w:ascii="Times New Roman" w:hAnsi="Times New Roman" w:cs="Times New Roman"/>
          <w:sz w:val="24"/>
        </w:rPr>
        <w:t>,</w:t>
      </w:r>
      <w:r w:rsidRPr="006C4D47">
        <w:rPr>
          <w:rFonts w:ascii="Times New Roman" w:hAnsi="Times New Roman" w:cs="Times New Roman"/>
          <w:sz w:val="24"/>
        </w:rPr>
        <w:t xml:space="preserve"> unrestricted donations</w:t>
      </w:r>
      <w:r w:rsidR="00180591">
        <w:rPr>
          <w:rFonts w:ascii="Times New Roman" w:hAnsi="Times New Roman" w:cs="Times New Roman"/>
          <w:sz w:val="24"/>
        </w:rPr>
        <w:t xml:space="preserve"> whenever possible. </w:t>
      </w:r>
      <w:r w:rsidRPr="006C4D47">
        <w:rPr>
          <w:rFonts w:ascii="Times New Roman" w:hAnsi="Times New Roman" w:cs="Times New Roman"/>
          <w:sz w:val="24"/>
        </w:rPr>
        <w:t>Donated artifacts may be used for exhibition, study, research, loan, or they may be deaccessioned.</w:t>
      </w:r>
      <w:r w:rsidR="00180591">
        <w:rPr>
          <w:rFonts w:ascii="Times New Roman" w:hAnsi="Times New Roman" w:cs="Times New Roman"/>
          <w:sz w:val="24"/>
        </w:rPr>
        <w:t xml:space="preserve"> The Museum will not promise to display an object immediately, in perpetuity, or ever. </w:t>
      </w:r>
    </w:p>
    <w:p w14:paraId="632AA445" w14:textId="6DD9080A" w:rsidR="006C4D47" w:rsidRPr="006C4D47" w:rsidRDefault="006C4D47" w:rsidP="006C4D47">
      <w:pPr>
        <w:pStyle w:val="ListParagraph"/>
        <w:numPr>
          <w:ilvl w:val="1"/>
          <w:numId w:val="6"/>
        </w:numPr>
        <w:rPr>
          <w:rFonts w:ascii="Times New Roman" w:hAnsi="Times New Roman" w:cs="Times New Roman"/>
          <w:sz w:val="24"/>
          <w:szCs w:val="24"/>
        </w:rPr>
      </w:pPr>
      <w:r w:rsidRPr="006C4D47">
        <w:rPr>
          <w:rFonts w:ascii="Times New Roman" w:hAnsi="Times New Roman" w:cs="Times New Roman"/>
          <w:sz w:val="24"/>
        </w:rPr>
        <w:t xml:space="preserve">The museum will only collect artifacts that can be cared for in a manner </w:t>
      </w:r>
      <w:r w:rsidR="00180591">
        <w:rPr>
          <w:rFonts w:ascii="Times New Roman" w:hAnsi="Times New Roman" w:cs="Times New Roman"/>
          <w:sz w:val="24"/>
        </w:rPr>
        <w:t xml:space="preserve">in line with best practices. </w:t>
      </w:r>
    </w:p>
    <w:p w14:paraId="75ECE8A5" w14:textId="547B734F" w:rsidR="006C4D47" w:rsidRDefault="006C4D47" w:rsidP="006C4D47">
      <w:pPr>
        <w:pStyle w:val="ListParagraph"/>
        <w:numPr>
          <w:ilvl w:val="1"/>
          <w:numId w:val="6"/>
        </w:numPr>
        <w:spacing w:after="0" w:line="240" w:lineRule="auto"/>
        <w:jc w:val="both"/>
        <w:rPr>
          <w:rFonts w:ascii="Times New Roman" w:hAnsi="Times New Roman" w:cs="Times New Roman"/>
          <w:sz w:val="24"/>
        </w:rPr>
      </w:pPr>
      <w:r w:rsidRPr="006C4D47">
        <w:rPr>
          <w:rFonts w:ascii="Times New Roman" w:hAnsi="Times New Roman" w:cs="Times New Roman"/>
          <w:sz w:val="24"/>
        </w:rPr>
        <w:t>Donations to the Permanent Collection should be the best available at the time</w:t>
      </w:r>
      <w:r w:rsidR="00E46E3C">
        <w:rPr>
          <w:rFonts w:ascii="Times New Roman" w:hAnsi="Times New Roman" w:cs="Times New Roman"/>
          <w:sz w:val="24"/>
        </w:rPr>
        <w:t xml:space="preserve"> and </w:t>
      </w:r>
      <w:r w:rsidRPr="006C4D47">
        <w:rPr>
          <w:rFonts w:ascii="Times New Roman" w:hAnsi="Times New Roman" w:cs="Times New Roman"/>
          <w:sz w:val="24"/>
        </w:rPr>
        <w:t xml:space="preserve">fill a recognized deficiency or upgrade existing collections.  </w:t>
      </w:r>
    </w:p>
    <w:p w14:paraId="280E67D0" w14:textId="77777777" w:rsidR="006C4D47" w:rsidRPr="006C4D47" w:rsidRDefault="006C4D47" w:rsidP="006C4D47">
      <w:pPr>
        <w:pStyle w:val="ListParagraph"/>
        <w:spacing w:after="0" w:line="240" w:lineRule="auto"/>
        <w:ind w:left="1440"/>
        <w:jc w:val="both"/>
        <w:rPr>
          <w:rFonts w:ascii="Times New Roman" w:hAnsi="Times New Roman" w:cs="Times New Roman"/>
          <w:sz w:val="24"/>
        </w:rPr>
      </w:pPr>
    </w:p>
    <w:p w14:paraId="655B004A" w14:textId="34D4A797" w:rsidR="00E46E3C" w:rsidRPr="00E46E3C" w:rsidRDefault="006C4D47" w:rsidP="00E46E3C">
      <w:pPr>
        <w:numPr>
          <w:ilvl w:val="0"/>
          <w:numId w:val="6"/>
        </w:numPr>
        <w:spacing w:after="0" w:line="240" w:lineRule="auto"/>
        <w:jc w:val="both"/>
        <w:rPr>
          <w:rFonts w:ascii="Times New Roman" w:hAnsi="Times New Roman" w:cs="Times New Roman"/>
          <w:sz w:val="24"/>
        </w:rPr>
      </w:pPr>
      <w:r w:rsidRPr="006C4D47">
        <w:rPr>
          <w:rFonts w:ascii="Times New Roman" w:hAnsi="Times New Roman" w:cs="Times New Roman"/>
          <w:sz w:val="24"/>
        </w:rPr>
        <w:lastRenderedPageBreak/>
        <w:t xml:space="preserve">Following the Accession Committee’s meeting, prospective donors are notified whether or not their item(s) are accepted into the museum’s collections. If a prospective donor </w:t>
      </w:r>
      <w:r w:rsidRPr="006C4D47">
        <w:rPr>
          <w:rFonts w:ascii="Times New Roman" w:hAnsi="Times New Roman" w:cs="Times New Roman"/>
          <w:sz w:val="24"/>
          <w:u w:val="single"/>
        </w:rPr>
        <w:t>does</w:t>
      </w:r>
      <w:r w:rsidRPr="006C4D47">
        <w:rPr>
          <w:rFonts w:ascii="Times New Roman" w:hAnsi="Times New Roman" w:cs="Times New Roman"/>
          <w:sz w:val="24"/>
        </w:rPr>
        <w:t xml:space="preserve"> desire the return of an item(s) that is not selected for inclusion in any of the collections, the individual should retrieve the item(s).  Rejected items not retrieved by the donor within 60 days after notification will be disposed of by the museum. Permanent records will be kept of the date and method of disposal.  If a prospective donor </w:t>
      </w:r>
      <w:r w:rsidRPr="006C4D47">
        <w:rPr>
          <w:rFonts w:ascii="Times New Roman" w:hAnsi="Times New Roman" w:cs="Times New Roman"/>
          <w:sz w:val="24"/>
          <w:u w:val="single"/>
        </w:rPr>
        <w:t>does</w:t>
      </w:r>
      <w:r w:rsidRPr="006C4D47">
        <w:rPr>
          <w:rFonts w:ascii="Times New Roman" w:hAnsi="Times New Roman" w:cs="Times New Roman"/>
          <w:sz w:val="24"/>
        </w:rPr>
        <w:t xml:space="preserve"> </w:t>
      </w:r>
      <w:r w:rsidRPr="006C4D47">
        <w:rPr>
          <w:rFonts w:ascii="Times New Roman" w:hAnsi="Times New Roman" w:cs="Times New Roman"/>
          <w:sz w:val="24"/>
          <w:u w:val="single"/>
        </w:rPr>
        <w:t>not</w:t>
      </w:r>
      <w:r w:rsidRPr="006C4D47">
        <w:rPr>
          <w:rFonts w:ascii="Times New Roman" w:hAnsi="Times New Roman" w:cs="Times New Roman"/>
          <w:sz w:val="24"/>
        </w:rPr>
        <w:t xml:space="preserve"> desire the return of an item(s) that is not selected for inclusion in the museum collections, the owner shall indicate this on the Incoming Package Form.  By so indicating, the museum is released from any claims involving said object(s).</w:t>
      </w:r>
    </w:p>
    <w:p w14:paraId="384A7431" w14:textId="77777777" w:rsidR="006C4D47" w:rsidRDefault="006C4D47" w:rsidP="006C4D47">
      <w:pPr>
        <w:spacing w:after="0" w:line="240" w:lineRule="auto"/>
        <w:ind w:left="720"/>
        <w:jc w:val="both"/>
        <w:rPr>
          <w:rFonts w:ascii="Times New Roman" w:hAnsi="Times New Roman" w:cs="Times New Roman"/>
          <w:sz w:val="24"/>
        </w:rPr>
      </w:pPr>
    </w:p>
    <w:p w14:paraId="2465BCF4" w14:textId="67CBE2D8" w:rsidR="006C4D47" w:rsidRPr="006C4D47" w:rsidRDefault="006C4D47" w:rsidP="006C4D47">
      <w:pPr>
        <w:numPr>
          <w:ilvl w:val="0"/>
          <w:numId w:val="6"/>
        </w:numPr>
        <w:spacing w:after="0" w:line="240" w:lineRule="auto"/>
        <w:jc w:val="both"/>
        <w:rPr>
          <w:rFonts w:ascii="Times New Roman" w:hAnsi="Times New Roman" w:cs="Times New Roman"/>
          <w:sz w:val="24"/>
        </w:rPr>
      </w:pPr>
      <w:r w:rsidRPr="006C4D47">
        <w:rPr>
          <w:rFonts w:ascii="Times New Roman" w:hAnsi="Times New Roman" w:cs="Times New Roman"/>
          <w:sz w:val="24"/>
        </w:rPr>
        <w:t>Established museum procedures shall be used to affix an Object ID number to an artifact.  The Object ID number will be associated with a donor file.  The donor file shall contain the donor’s name and pertinent information, a donation agreement, the incoming package form and any information received from the donor or researched by staff.</w:t>
      </w:r>
    </w:p>
    <w:p w14:paraId="3F9FAACB" w14:textId="77777777" w:rsidR="006C4D47" w:rsidRPr="006C4D47" w:rsidRDefault="006C4D47" w:rsidP="006C4D47">
      <w:pPr>
        <w:spacing w:after="0" w:line="240" w:lineRule="auto"/>
        <w:ind w:left="720"/>
        <w:jc w:val="both"/>
        <w:rPr>
          <w:rFonts w:ascii="Times New Roman" w:hAnsi="Times New Roman" w:cs="Times New Roman"/>
          <w:sz w:val="24"/>
        </w:rPr>
      </w:pPr>
    </w:p>
    <w:p w14:paraId="6E0EA4B8" w14:textId="77777777" w:rsidR="006C4D47" w:rsidRPr="006C4D47" w:rsidRDefault="006C4D47" w:rsidP="006C4D47">
      <w:pPr>
        <w:jc w:val="center"/>
        <w:rPr>
          <w:rFonts w:ascii="Times New Roman" w:hAnsi="Times New Roman" w:cs="Times New Roman"/>
          <w:b/>
          <w:sz w:val="28"/>
        </w:rPr>
      </w:pPr>
      <w:r w:rsidRPr="006C4D47">
        <w:rPr>
          <w:rFonts w:ascii="Times New Roman" w:hAnsi="Times New Roman" w:cs="Times New Roman"/>
          <w:b/>
          <w:sz w:val="28"/>
        </w:rPr>
        <w:t>4 -  Loans</w:t>
      </w:r>
    </w:p>
    <w:p w14:paraId="42D21D01" w14:textId="4D166E40" w:rsidR="006C4D47" w:rsidRPr="006C4D47" w:rsidRDefault="006C4D47" w:rsidP="006C4D47">
      <w:pPr>
        <w:jc w:val="both"/>
        <w:rPr>
          <w:rFonts w:ascii="Times New Roman" w:hAnsi="Times New Roman" w:cs="Times New Roman"/>
          <w:b/>
          <w:sz w:val="24"/>
        </w:rPr>
      </w:pPr>
      <w:r w:rsidRPr="006C4D47">
        <w:rPr>
          <w:rFonts w:ascii="Times New Roman" w:hAnsi="Times New Roman" w:cs="Times New Roman"/>
          <w:b/>
          <w:sz w:val="24"/>
        </w:rPr>
        <w:t xml:space="preserve">      Incoming Loans</w:t>
      </w:r>
      <w:r w:rsidR="003A536A">
        <w:rPr>
          <w:rFonts w:ascii="Times New Roman" w:hAnsi="Times New Roman" w:cs="Times New Roman"/>
          <w:b/>
          <w:sz w:val="24"/>
        </w:rPr>
        <w:t>:</w:t>
      </w:r>
    </w:p>
    <w:p w14:paraId="11AF9A70" w14:textId="1AF32BA5" w:rsidR="006C4D47" w:rsidRPr="006C4D47" w:rsidRDefault="006C4D47" w:rsidP="006C4D47">
      <w:pPr>
        <w:numPr>
          <w:ilvl w:val="0"/>
          <w:numId w:val="2"/>
        </w:numPr>
        <w:spacing w:after="0" w:line="240" w:lineRule="auto"/>
        <w:jc w:val="both"/>
        <w:rPr>
          <w:rFonts w:ascii="Times New Roman" w:hAnsi="Times New Roman" w:cs="Times New Roman"/>
          <w:sz w:val="24"/>
        </w:rPr>
      </w:pPr>
      <w:r w:rsidRPr="006C4D47">
        <w:rPr>
          <w:rFonts w:ascii="Times New Roman" w:hAnsi="Times New Roman" w:cs="Times New Roman"/>
          <w:sz w:val="24"/>
        </w:rPr>
        <w:t>The museum may request the loan of specific artifacts or collections from private individuals, organizations, museums or other institutions for exhibition purposes. The museum will accept only those items specifically requested and will not accept artifacts for indefinite loan.   Loaners will sign appropriate paperwork stating dates of return, insurance responsibility, etc. The Museum Director will oversee the request for loans.  The museum’s Registrar will be responsible for all records concerning such loans.</w:t>
      </w:r>
    </w:p>
    <w:p w14:paraId="18C483D2" w14:textId="77777777" w:rsidR="006C4D47" w:rsidRPr="006C4D47" w:rsidRDefault="006C4D47" w:rsidP="006C4D47">
      <w:pPr>
        <w:jc w:val="both"/>
        <w:rPr>
          <w:rFonts w:ascii="Times New Roman" w:hAnsi="Times New Roman" w:cs="Times New Roman"/>
          <w:sz w:val="24"/>
        </w:rPr>
      </w:pPr>
    </w:p>
    <w:p w14:paraId="4601CD8E" w14:textId="77777777" w:rsidR="006C4D47" w:rsidRPr="006C4D47" w:rsidRDefault="006C4D47" w:rsidP="006C4D47">
      <w:pPr>
        <w:numPr>
          <w:ilvl w:val="0"/>
          <w:numId w:val="2"/>
        </w:numPr>
        <w:spacing w:after="0" w:line="240" w:lineRule="auto"/>
        <w:jc w:val="both"/>
        <w:rPr>
          <w:rFonts w:ascii="Times New Roman" w:hAnsi="Times New Roman" w:cs="Times New Roman"/>
          <w:sz w:val="24"/>
        </w:rPr>
      </w:pPr>
      <w:r w:rsidRPr="006C4D47">
        <w:rPr>
          <w:rFonts w:ascii="Times New Roman" w:hAnsi="Times New Roman" w:cs="Times New Roman"/>
          <w:sz w:val="24"/>
        </w:rPr>
        <w:t>Insurance and transportation costs for traveling exhibits coming to the museum will be handled on a case-by-case basis.</w:t>
      </w:r>
    </w:p>
    <w:p w14:paraId="4E379840" w14:textId="77777777" w:rsidR="006C4D47" w:rsidRPr="006C4D47" w:rsidRDefault="006C4D47" w:rsidP="006C4D47">
      <w:pPr>
        <w:jc w:val="both"/>
        <w:rPr>
          <w:rFonts w:ascii="Times New Roman" w:hAnsi="Times New Roman" w:cs="Times New Roman"/>
          <w:sz w:val="24"/>
        </w:rPr>
      </w:pPr>
    </w:p>
    <w:p w14:paraId="45D8BD05" w14:textId="77777777" w:rsidR="006C4D47" w:rsidRPr="006C4D47" w:rsidRDefault="006C4D47" w:rsidP="006C4D47">
      <w:pPr>
        <w:numPr>
          <w:ilvl w:val="0"/>
          <w:numId w:val="2"/>
        </w:numPr>
        <w:spacing w:after="0" w:line="240" w:lineRule="auto"/>
        <w:jc w:val="both"/>
        <w:rPr>
          <w:rFonts w:ascii="Times New Roman" w:hAnsi="Times New Roman" w:cs="Times New Roman"/>
          <w:sz w:val="24"/>
        </w:rPr>
      </w:pPr>
      <w:r w:rsidRPr="006C4D47">
        <w:rPr>
          <w:rFonts w:ascii="Times New Roman" w:hAnsi="Times New Roman" w:cs="Times New Roman"/>
          <w:sz w:val="24"/>
        </w:rPr>
        <w:t>All indefinite loans in the museum’s records will be resolved either by return of the items, donation of the items or will be replaced with yearly or 5-year loan contracts. If the owners cannot be located, the museum will dispose of the artifacts as per letter “5d” under “Deaccession and Disposal of Artifacts” in this document.</w:t>
      </w:r>
    </w:p>
    <w:p w14:paraId="521A51D9" w14:textId="77777777" w:rsidR="006C4D47" w:rsidRPr="006C4D47" w:rsidRDefault="006C4D47" w:rsidP="006C4D47">
      <w:pPr>
        <w:jc w:val="both"/>
        <w:rPr>
          <w:rFonts w:ascii="Times New Roman" w:hAnsi="Times New Roman" w:cs="Times New Roman"/>
          <w:sz w:val="24"/>
        </w:rPr>
      </w:pPr>
    </w:p>
    <w:p w14:paraId="56C2D6FC" w14:textId="6F6DC7E9" w:rsidR="006C4D47" w:rsidRPr="006C4D47" w:rsidRDefault="006C4D47" w:rsidP="006C4D47">
      <w:pPr>
        <w:pStyle w:val="Heading3"/>
      </w:pPr>
      <w:r w:rsidRPr="006C4D47">
        <w:t xml:space="preserve">      Outgoing Loans</w:t>
      </w:r>
      <w:r w:rsidR="003A536A">
        <w:t>:</w:t>
      </w:r>
    </w:p>
    <w:p w14:paraId="0BBE63A2" w14:textId="7DDE0B71" w:rsidR="006C4D47" w:rsidRPr="006C4D47" w:rsidRDefault="006C4D47" w:rsidP="006C4D47">
      <w:pPr>
        <w:numPr>
          <w:ilvl w:val="0"/>
          <w:numId w:val="3"/>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The museum may, upon request, make loans from its collections to other institutions upon approval of the Director.  Loans will be made to museums and cultural, historical, governmental, or educational institutions, providing they meet the requirements for security, general care, use, insurance, transportation, packing, and crating as established by the </w:t>
      </w:r>
      <w:r w:rsidR="00E46E3C">
        <w:rPr>
          <w:rFonts w:ascii="Times New Roman" w:hAnsi="Times New Roman" w:cs="Times New Roman"/>
          <w:sz w:val="24"/>
        </w:rPr>
        <w:t>M</w:t>
      </w:r>
      <w:r w:rsidRPr="006C4D47">
        <w:rPr>
          <w:rFonts w:ascii="Times New Roman" w:hAnsi="Times New Roman" w:cs="Times New Roman"/>
          <w:sz w:val="24"/>
        </w:rPr>
        <w:t xml:space="preserve">useum. Transportation and insurance for these exhibits will be decided on a case-by-case basis. The </w:t>
      </w:r>
      <w:r w:rsidR="00E46E3C">
        <w:rPr>
          <w:rFonts w:ascii="Times New Roman" w:hAnsi="Times New Roman" w:cs="Times New Roman"/>
          <w:sz w:val="24"/>
        </w:rPr>
        <w:t>M</w:t>
      </w:r>
      <w:r w:rsidRPr="006C4D47">
        <w:rPr>
          <w:rFonts w:ascii="Times New Roman" w:hAnsi="Times New Roman" w:cs="Times New Roman"/>
          <w:sz w:val="24"/>
        </w:rPr>
        <w:t>useum may require proof of insurance and may charge packing and crating fees if necessary.</w:t>
      </w:r>
    </w:p>
    <w:p w14:paraId="2200E86A" w14:textId="77777777" w:rsidR="006C4D47" w:rsidRPr="006C4D47" w:rsidRDefault="006C4D47" w:rsidP="006C4D47">
      <w:pPr>
        <w:jc w:val="both"/>
        <w:rPr>
          <w:rFonts w:ascii="Times New Roman" w:hAnsi="Times New Roman" w:cs="Times New Roman"/>
          <w:sz w:val="24"/>
        </w:rPr>
      </w:pPr>
    </w:p>
    <w:p w14:paraId="17E0E494" w14:textId="77777777" w:rsidR="006C4D47" w:rsidRPr="006C4D47" w:rsidRDefault="006C4D47" w:rsidP="006C4D47">
      <w:pPr>
        <w:numPr>
          <w:ilvl w:val="0"/>
          <w:numId w:val="3"/>
        </w:numPr>
        <w:spacing w:after="0" w:line="240" w:lineRule="auto"/>
        <w:jc w:val="both"/>
        <w:rPr>
          <w:rFonts w:ascii="Times New Roman" w:hAnsi="Times New Roman" w:cs="Times New Roman"/>
          <w:sz w:val="24"/>
        </w:rPr>
      </w:pPr>
      <w:r w:rsidRPr="006C4D47">
        <w:rPr>
          <w:rFonts w:ascii="Times New Roman" w:hAnsi="Times New Roman" w:cs="Times New Roman"/>
          <w:sz w:val="24"/>
        </w:rPr>
        <w:lastRenderedPageBreak/>
        <w:t>Only those artifacts that are in satisfactory condition and which will not suffer adverse effects from travel or exhibition will be recommended for loan.</w:t>
      </w:r>
    </w:p>
    <w:p w14:paraId="29ADD2D7" w14:textId="77777777" w:rsidR="006C4D47" w:rsidRPr="006C4D47" w:rsidRDefault="006C4D47" w:rsidP="006C4D47">
      <w:pPr>
        <w:jc w:val="both"/>
        <w:rPr>
          <w:rFonts w:ascii="Times New Roman" w:hAnsi="Times New Roman" w:cs="Times New Roman"/>
          <w:sz w:val="24"/>
        </w:rPr>
      </w:pPr>
    </w:p>
    <w:p w14:paraId="0C7E4A1D" w14:textId="77777777" w:rsidR="006C4D47" w:rsidRPr="006C4D47" w:rsidRDefault="006C4D47" w:rsidP="006C4D47">
      <w:pPr>
        <w:numPr>
          <w:ilvl w:val="0"/>
          <w:numId w:val="3"/>
        </w:numPr>
        <w:spacing w:after="0" w:line="240" w:lineRule="auto"/>
        <w:jc w:val="both"/>
        <w:rPr>
          <w:rFonts w:ascii="Times New Roman" w:hAnsi="Times New Roman" w:cs="Times New Roman"/>
          <w:sz w:val="24"/>
        </w:rPr>
      </w:pPr>
      <w:r w:rsidRPr="006C4D47">
        <w:rPr>
          <w:rFonts w:ascii="Times New Roman" w:hAnsi="Times New Roman" w:cs="Times New Roman"/>
          <w:sz w:val="24"/>
        </w:rPr>
        <w:t>The Director and Registrar shall determine the condition of the artifacts to be loaned from the museum’s collections and will make appropriate recommendations as to their loan availability to the Board of Trustees. The Registrar shall be responsible for issuing and keeping track of these loan records on a yearly basis. A current photograph of the objects should be obtained by the Registrar every five years.</w:t>
      </w:r>
    </w:p>
    <w:p w14:paraId="63EE035D" w14:textId="77777777" w:rsidR="006C4D47" w:rsidRPr="006C4D47" w:rsidRDefault="006C4D47" w:rsidP="006C4D47">
      <w:pPr>
        <w:jc w:val="both"/>
        <w:rPr>
          <w:rFonts w:ascii="Times New Roman" w:hAnsi="Times New Roman" w:cs="Times New Roman"/>
          <w:sz w:val="24"/>
        </w:rPr>
      </w:pPr>
    </w:p>
    <w:p w14:paraId="3D03F5E8" w14:textId="77777777" w:rsidR="006C4D47" w:rsidRPr="006C4D47" w:rsidRDefault="006C4D47" w:rsidP="006C4D47">
      <w:pPr>
        <w:jc w:val="center"/>
        <w:rPr>
          <w:rFonts w:ascii="Times New Roman" w:hAnsi="Times New Roman" w:cs="Times New Roman"/>
          <w:b/>
          <w:sz w:val="28"/>
        </w:rPr>
      </w:pPr>
      <w:r w:rsidRPr="006C4D47">
        <w:rPr>
          <w:rFonts w:ascii="Times New Roman" w:hAnsi="Times New Roman" w:cs="Times New Roman"/>
          <w:b/>
          <w:sz w:val="28"/>
        </w:rPr>
        <w:t>5 -  Deaccession and Disposal of Artifacts:</w:t>
      </w:r>
    </w:p>
    <w:p w14:paraId="5BFD8711" w14:textId="77777777" w:rsidR="006C4D47" w:rsidRPr="006C4D47" w:rsidRDefault="006C4D47" w:rsidP="006C4D47">
      <w:pPr>
        <w:numPr>
          <w:ilvl w:val="0"/>
          <w:numId w:val="4"/>
        </w:numPr>
        <w:spacing w:after="0" w:line="240" w:lineRule="auto"/>
        <w:jc w:val="both"/>
        <w:rPr>
          <w:rFonts w:ascii="Times New Roman" w:hAnsi="Times New Roman" w:cs="Times New Roman"/>
          <w:sz w:val="24"/>
        </w:rPr>
      </w:pPr>
      <w:r w:rsidRPr="006C4D47">
        <w:rPr>
          <w:rFonts w:ascii="Times New Roman" w:hAnsi="Times New Roman" w:cs="Times New Roman"/>
          <w:sz w:val="24"/>
        </w:rPr>
        <w:t>Deaccession is the formal process used to permanently remove an artifact from the collection. As objects in the permanent collection are intended to be held in perpetuity, deaccessioning is a very serious matter and should only be done in a manner that complies with the rest of this section.</w:t>
      </w:r>
    </w:p>
    <w:p w14:paraId="28338373" w14:textId="77777777" w:rsidR="006C4D47" w:rsidRPr="006C4D47" w:rsidRDefault="006C4D47" w:rsidP="006C4D47">
      <w:pPr>
        <w:jc w:val="both"/>
        <w:rPr>
          <w:rFonts w:ascii="Times New Roman" w:hAnsi="Times New Roman" w:cs="Times New Roman"/>
          <w:sz w:val="24"/>
        </w:rPr>
      </w:pPr>
    </w:p>
    <w:p w14:paraId="5B46984F" w14:textId="1DC143E5" w:rsidR="006C4D47" w:rsidRPr="006C4D47" w:rsidRDefault="006C4D47" w:rsidP="006C4D47">
      <w:pPr>
        <w:numPr>
          <w:ilvl w:val="0"/>
          <w:numId w:val="4"/>
        </w:numPr>
        <w:spacing w:after="0" w:line="240" w:lineRule="auto"/>
        <w:jc w:val="both"/>
        <w:rPr>
          <w:rFonts w:ascii="Times New Roman" w:hAnsi="Times New Roman" w:cs="Times New Roman"/>
          <w:sz w:val="24"/>
        </w:rPr>
      </w:pPr>
      <w:r w:rsidRPr="006C4D47">
        <w:rPr>
          <w:rFonts w:ascii="Times New Roman" w:hAnsi="Times New Roman" w:cs="Times New Roman"/>
          <w:sz w:val="24"/>
        </w:rPr>
        <w:t>Artifacts in the collection will be retained as long as they meet the Statement of Purpose of the museum, and if they can be properly stored, preserved, and interpreted.  Artifacts that do not meet the purpose of the museum are liabilities and are subject to deaccessioning. Reasons for deaccessioning include</w:t>
      </w:r>
      <w:r w:rsidR="003A536A">
        <w:rPr>
          <w:rFonts w:ascii="Times New Roman" w:hAnsi="Times New Roman" w:cs="Times New Roman"/>
          <w:sz w:val="24"/>
        </w:rPr>
        <w:t>, but are not limited to,</w:t>
      </w:r>
      <w:r w:rsidRPr="006C4D47">
        <w:rPr>
          <w:rFonts w:ascii="Times New Roman" w:hAnsi="Times New Roman" w:cs="Times New Roman"/>
          <w:sz w:val="24"/>
        </w:rPr>
        <w:t xml:space="preserve"> lack of relevancy</w:t>
      </w:r>
      <w:r w:rsidR="003A536A">
        <w:rPr>
          <w:rFonts w:ascii="Times New Roman" w:hAnsi="Times New Roman" w:cs="Times New Roman"/>
          <w:sz w:val="24"/>
        </w:rPr>
        <w:t xml:space="preserve">, </w:t>
      </w:r>
      <w:r w:rsidRPr="006C4D47">
        <w:rPr>
          <w:rFonts w:ascii="Times New Roman" w:hAnsi="Times New Roman" w:cs="Times New Roman"/>
          <w:sz w:val="24"/>
        </w:rPr>
        <w:t>poor condition, and duplication.  Additionally, if an artifact cannot be properly stored, preserved, and interpreted, it may be chosen for deaccession in order to improve the collection. The museum may preserve some materials in a different physical form, such as digital scanning, prior to their deaccession.</w:t>
      </w:r>
    </w:p>
    <w:p w14:paraId="3E4DFE1E" w14:textId="77777777" w:rsidR="006C4D47" w:rsidRPr="006C4D47" w:rsidRDefault="006C4D47" w:rsidP="006C4D47">
      <w:pPr>
        <w:jc w:val="both"/>
        <w:rPr>
          <w:rFonts w:ascii="Times New Roman" w:hAnsi="Times New Roman" w:cs="Times New Roman"/>
          <w:sz w:val="24"/>
        </w:rPr>
      </w:pPr>
    </w:p>
    <w:p w14:paraId="511AA28F" w14:textId="77777777" w:rsidR="006C4D47" w:rsidRPr="006C4D47" w:rsidRDefault="006C4D47" w:rsidP="006C4D47">
      <w:pPr>
        <w:numPr>
          <w:ilvl w:val="0"/>
          <w:numId w:val="4"/>
        </w:numPr>
        <w:spacing w:after="0" w:line="240" w:lineRule="auto"/>
        <w:jc w:val="both"/>
        <w:rPr>
          <w:rFonts w:ascii="Times New Roman" w:hAnsi="Times New Roman" w:cs="Times New Roman"/>
          <w:sz w:val="24"/>
        </w:rPr>
      </w:pPr>
      <w:r w:rsidRPr="006C4D47">
        <w:rPr>
          <w:rFonts w:ascii="Times New Roman" w:hAnsi="Times New Roman" w:cs="Times New Roman"/>
          <w:sz w:val="24"/>
        </w:rPr>
        <w:t>Museum ownership of an artifact must be clearly established before an object will be recommended for deaccessioning.  Artifacts in the collections will be deaccessioned upon the recommendation of the Accession Committee and Director to the Board of Trustees. The Board of Trustees must approve recommendations for deaccessioning by a majority vote.</w:t>
      </w:r>
    </w:p>
    <w:p w14:paraId="05DB23BE" w14:textId="1108BBBB" w:rsidR="006C4D47" w:rsidRPr="006C4D47" w:rsidRDefault="003666BD" w:rsidP="006C4D47">
      <w:pPr>
        <w:numPr>
          <w:ilvl w:val="0"/>
          <w:numId w:val="4"/>
        </w:numPr>
        <w:spacing w:before="240" w:after="0" w:line="240" w:lineRule="auto"/>
        <w:jc w:val="both"/>
        <w:rPr>
          <w:rFonts w:ascii="Times New Roman" w:hAnsi="Times New Roman" w:cs="Times New Roman"/>
          <w:sz w:val="24"/>
        </w:rPr>
      </w:pPr>
      <w:r>
        <w:rPr>
          <w:rFonts w:ascii="Times New Roman" w:hAnsi="Times New Roman" w:cs="Times New Roman"/>
          <w:sz w:val="24"/>
        </w:rPr>
        <w:t>Deaccessioned o</w:t>
      </w:r>
      <w:commentRangeStart w:id="0"/>
      <w:commentRangeStart w:id="1"/>
      <w:commentRangeStart w:id="2"/>
      <w:commentRangeStart w:id="3"/>
      <w:r w:rsidR="006C4D47" w:rsidRPr="006C4D47">
        <w:rPr>
          <w:rFonts w:ascii="Times New Roman" w:hAnsi="Times New Roman" w:cs="Times New Roman"/>
          <w:sz w:val="24"/>
        </w:rPr>
        <w:t xml:space="preserve">bjects are </w:t>
      </w:r>
      <w:r w:rsidR="006C4D47" w:rsidRPr="006C4D47">
        <w:rPr>
          <w:rFonts w:ascii="Times New Roman" w:hAnsi="Times New Roman" w:cs="Times New Roman"/>
          <w:b/>
          <w:sz w:val="24"/>
        </w:rPr>
        <w:t xml:space="preserve">not </w:t>
      </w:r>
      <w:r w:rsidR="006C4D47" w:rsidRPr="006C4D47">
        <w:rPr>
          <w:rFonts w:ascii="Times New Roman" w:hAnsi="Times New Roman" w:cs="Times New Roman"/>
          <w:sz w:val="24"/>
        </w:rPr>
        <w:t>to be returned to their donors</w:t>
      </w:r>
      <w:commentRangeEnd w:id="0"/>
      <w:r w:rsidR="00F547F1">
        <w:rPr>
          <w:rStyle w:val="CommentReference"/>
        </w:rPr>
        <w:commentReference w:id="0"/>
      </w:r>
      <w:commentRangeEnd w:id="1"/>
      <w:r w:rsidR="001D4E82">
        <w:rPr>
          <w:rStyle w:val="CommentReference"/>
        </w:rPr>
        <w:commentReference w:id="1"/>
      </w:r>
      <w:commentRangeEnd w:id="2"/>
      <w:r w:rsidR="00786677">
        <w:rPr>
          <w:rStyle w:val="CommentReference"/>
        </w:rPr>
        <w:commentReference w:id="2"/>
      </w:r>
      <w:commentRangeEnd w:id="3"/>
      <w:r w:rsidR="008E6AA3">
        <w:rPr>
          <w:rStyle w:val="CommentReference"/>
        </w:rPr>
        <w:commentReference w:id="3"/>
      </w:r>
      <w:r>
        <w:rPr>
          <w:rFonts w:ascii="Times New Roman" w:hAnsi="Times New Roman" w:cs="Times New Roman"/>
          <w:sz w:val="24"/>
        </w:rPr>
        <w:t xml:space="preserve"> (other than in the case of repatriation or restitution. See subsection 7)</w:t>
      </w:r>
      <w:r w:rsidR="006C4D47" w:rsidRPr="006C4D47">
        <w:rPr>
          <w:rFonts w:ascii="Times New Roman" w:hAnsi="Times New Roman" w:cs="Times New Roman"/>
          <w:sz w:val="24"/>
        </w:rPr>
        <w:t xml:space="preserve">. They are to be deaccessioned will be disposed of in the following order, as appropriate: </w:t>
      </w:r>
    </w:p>
    <w:p w14:paraId="42F6D0B1" w14:textId="050D9F39" w:rsidR="006C4D47" w:rsidRPr="006C4D47" w:rsidRDefault="006C4D47" w:rsidP="006C4D47">
      <w:pPr>
        <w:numPr>
          <w:ilvl w:val="2"/>
          <w:numId w:val="4"/>
        </w:numPr>
        <w:tabs>
          <w:tab w:val="clear" w:pos="2160"/>
          <w:tab w:val="num" w:pos="2070"/>
        </w:tabs>
        <w:spacing w:before="240" w:after="0" w:line="240" w:lineRule="auto"/>
        <w:ind w:left="1170"/>
        <w:jc w:val="both"/>
        <w:rPr>
          <w:rFonts w:ascii="Times New Roman" w:hAnsi="Times New Roman" w:cs="Times New Roman"/>
          <w:sz w:val="24"/>
        </w:rPr>
      </w:pPr>
      <w:r w:rsidRPr="006C4D47">
        <w:rPr>
          <w:rFonts w:ascii="Times New Roman" w:hAnsi="Times New Roman" w:cs="Times New Roman"/>
          <w:sz w:val="24"/>
        </w:rPr>
        <w:t>Donation or trade to another museum or cultural institution</w:t>
      </w:r>
    </w:p>
    <w:p w14:paraId="11B0F7A3" w14:textId="77777777" w:rsidR="006C4D47" w:rsidRPr="006C4D47" w:rsidRDefault="006C4D47" w:rsidP="006C4D47">
      <w:pPr>
        <w:numPr>
          <w:ilvl w:val="2"/>
          <w:numId w:val="4"/>
        </w:numPr>
        <w:tabs>
          <w:tab w:val="clear" w:pos="2160"/>
          <w:tab w:val="num" w:pos="2070"/>
        </w:tabs>
        <w:spacing w:before="240" w:after="0" w:line="240" w:lineRule="auto"/>
        <w:ind w:left="1170"/>
        <w:jc w:val="both"/>
        <w:rPr>
          <w:rFonts w:ascii="Times New Roman" w:hAnsi="Times New Roman" w:cs="Times New Roman"/>
          <w:sz w:val="24"/>
        </w:rPr>
      </w:pPr>
      <w:r w:rsidRPr="006C4D47">
        <w:rPr>
          <w:rFonts w:ascii="Times New Roman" w:hAnsi="Times New Roman" w:cs="Times New Roman"/>
          <w:sz w:val="24"/>
        </w:rPr>
        <w:t>Moved into the education or research collections</w:t>
      </w:r>
    </w:p>
    <w:p w14:paraId="4D18D9D1" w14:textId="77777777" w:rsidR="006C4D47" w:rsidRPr="006C4D47" w:rsidRDefault="006C4D47" w:rsidP="006C4D47">
      <w:pPr>
        <w:numPr>
          <w:ilvl w:val="2"/>
          <w:numId w:val="4"/>
        </w:numPr>
        <w:tabs>
          <w:tab w:val="clear" w:pos="2160"/>
          <w:tab w:val="num" w:pos="2070"/>
        </w:tabs>
        <w:spacing w:before="240" w:after="0" w:line="240" w:lineRule="auto"/>
        <w:ind w:left="1170"/>
        <w:jc w:val="both"/>
        <w:rPr>
          <w:rFonts w:ascii="Times New Roman" w:hAnsi="Times New Roman" w:cs="Times New Roman"/>
          <w:sz w:val="24"/>
        </w:rPr>
      </w:pPr>
      <w:r w:rsidRPr="006C4D47">
        <w:rPr>
          <w:rFonts w:ascii="Times New Roman" w:hAnsi="Times New Roman" w:cs="Times New Roman"/>
          <w:sz w:val="24"/>
        </w:rPr>
        <w:t>Donation to a government or educational institution</w:t>
      </w:r>
    </w:p>
    <w:p w14:paraId="4D690A35" w14:textId="639742C3" w:rsidR="006C4D47" w:rsidRPr="006C4D47" w:rsidRDefault="006C4D47" w:rsidP="006C4D47">
      <w:pPr>
        <w:numPr>
          <w:ilvl w:val="2"/>
          <w:numId w:val="4"/>
        </w:numPr>
        <w:tabs>
          <w:tab w:val="clear" w:pos="2160"/>
          <w:tab w:val="num" w:pos="2070"/>
        </w:tabs>
        <w:spacing w:before="240" w:after="0" w:line="240" w:lineRule="auto"/>
        <w:ind w:left="1170"/>
        <w:jc w:val="both"/>
        <w:rPr>
          <w:rFonts w:ascii="Times New Roman" w:hAnsi="Times New Roman" w:cs="Times New Roman"/>
          <w:sz w:val="24"/>
        </w:rPr>
      </w:pPr>
      <w:r w:rsidRPr="006C4D47">
        <w:rPr>
          <w:rFonts w:ascii="Times New Roman" w:hAnsi="Times New Roman" w:cs="Times New Roman"/>
          <w:sz w:val="24"/>
        </w:rPr>
        <w:t xml:space="preserve">Sold or traded to a qualified dealer or through public auction. All objects to be sold should be listed in the newspaper for no fewer than 30 days. </w:t>
      </w:r>
      <w:r w:rsidRPr="006C4D47">
        <w:rPr>
          <w:rFonts w:ascii="Times New Roman" w:hAnsi="Times New Roman" w:cs="Times New Roman"/>
          <w:b/>
          <w:sz w:val="24"/>
        </w:rPr>
        <w:t xml:space="preserve">Objects shall not be sold privately or given to current or former museum employees, members of the Board of Trustees, employees of Churchill County or their representatives. </w:t>
      </w:r>
      <w:r w:rsidRPr="006C4D47">
        <w:rPr>
          <w:rFonts w:ascii="Times New Roman" w:hAnsi="Times New Roman" w:cs="Times New Roman"/>
          <w:sz w:val="24"/>
        </w:rPr>
        <w:t xml:space="preserve">Members of these groups and the donor may, however, participate in the public auction. Any money obtained from the selling of collections objects must be used for </w:t>
      </w:r>
      <w:r w:rsidRPr="006C4D47">
        <w:rPr>
          <w:rFonts w:ascii="Times New Roman" w:hAnsi="Times New Roman" w:cs="Times New Roman"/>
          <w:sz w:val="24"/>
        </w:rPr>
        <w:lastRenderedPageBreak/>
        <w:t>direct care of collections</w:t>
      </w:r>
      <w:r w:rsidR="000D1979">
        <w:rPr>
          <w:rFonts w:ascii="Times New Roman" w:hAnsi="Times New Roman" w:cs="Times New Roman"/>
          <w:sz w:val="24"/>
        </w:rPr>
        <w:t>. Direct care of collections is defined as</w:t>
      </w:r>
      <w:r w:rsidRPr="006C4D47">
        <w:rPr>
          <w:rFonts w:ascii="Times New Roman" w:hAnsi="Times New Roman" w:cs="Times New Roman"/>
          <w:sz w:val="24"/>
        </w:rPr>
        <w:t xml:space="preserve"> </w:t>
      </w:r>
      <w:r w:rsidR="000D1979">
        <w:rPr>
          <w:rFonts w:ascii="Times New Roman" w:hAnsi="Times New Roman" w:cs="Times New Roman"/>
          <w:sz w:val="24"/>
        </w:rPr>
        <w:t>“i</w:t>
      </w:r>
      <w:r w:rsidR="000D1979" w:rsidRPr="000D1979">
        <w:rPr>
          <w:rFonts w:ascii="Times New Roman" w:hAnsi="Times New Roman" w:cs="Times New Roman"/>
          <w:sz w:val="24"/>
          <w:szCs w:val="24"/>
        </w:rPr>
        <w:t>nvestments that enhance life, usefulness, or quality of museum’s collection</w:t>
      </w:r>
      <w:r w:rsidR="000D1979">
        <w:rPr>
          <w:rFonts w:ascii="Times New Roman" w:hAnsi="Times New Roman" w:cs="Times New Roman"/>
          <w:sz w:val="24"/>
          <w:szCs w:val="24"/>
        </w:rPr>
        <w:t>.” This includes, but</w:t>
      </w:r>
      <w:r w:rsidR="000D1979" w:rsidRPr="000D1979">
        <w:rPr>
          <w:rFonts w:ascii="Times New Roman" w:hAnsi="Times New Roman" w:cs="Times New Roman"/>
          <w:sz w:val="28"/>
          <w:szCs w:val="24"/>
        </w:rPr>
        <w:t xml:space="preserve"> </w:t>
      </w:r>
      <w:r w:rsidR="000D1979">
        <w:rPr>
          <w:rFonts w:ascii="Times New Roman" w:hAnsi="Times New Roman" w:cs="Times New Roman"/>
          <w:sz w:val="24"/>
        </w:rPr>
        <w:t>is</w:t>
      </w:r>
      <w:r w:rsidRPr="006C4D47">
        <w:rPr>
          <w:rFonts w:ascii="Times New Roman" w:hAnsi="Times New Roman" w:cs="Times New Roman"/>
          <w:sz w:val="24"/>
        </w:rPr>
        <w:t xml:space="preserve"> not limited to object storage, conservation work, or purchasing of more relevant items.</w:t>
      </w:r>
    </w:p>
    <w:p w14:paraId="51B96094" w14:textId="77777777" w:rsidR="006C4D47" w:rsidRPr="006C4D47" w:rsidRDefault="006C4D47" w:rsidP="006C4D47">
      <w:pPr>
        <w:numPr>
          <w:ilvl w:val="2"/>
          <w:numId w:val="4"/>
        </w:numPr>
        <w:tabs>
          <w:tab w:val="clear" w:pos="2160"/>
          <w:tab w:val="num" w:pos="2070"/>
        </w:tabs>
        <w:spacing w:before="240" w:after="0" w:line="240" w:lineRule="auto"/>
        <w:ind w:left="1170"/>
        <w:jc w:val="both"/>
        <w:rPr>
          <w:rFonts w:ascii="Times New Roman" w:hAnsi="Times New Roman" w:cs="Times New Roman"/>
          <w:sz w:val="24"/>
        </w:rPr>
      </w:pPr>
      <w:r w:rsidRPr="006C4D47">
        <w:rPr>
          <w:rFonts w:ascii="Times New Roman" w:hAnsi="Times New Roman" w:cs="Times New Roman"/>
          <w:sz w:val="24"/>
        </w:rPr>
        <w:t>Destroyed</w:t>
      </w:r>
    </w:p>
    <w:p w14:paraId="4FBAF8FD" w14:textId="77777777" w:rsidR="006C4D47" w:rsidRPr="006C4D47" w:rsidRDefault="006C4D47" w:rsidP="006C4D47">
      <w:pPr>
        <w:spacing w:before="240" w:after="0" w:line="240" w:lineRule="auto"/>
        <w:ind w:left="1440"/>
        <w:jc w:val="both"/>
        <w:rPr>
          <w:rFonts w:ascii="Times New Roman" w:hAnsi="Times New Roman" w:cs="Times New Roman"/>
          <w:sz w:val="24"/>
        </w:rPr>
      </w:pPr>
    </w:p>
    <w:p w14:paraId="52EED8FA" w14:textId="77777777" w:rsidR="006C4D47" w:rsidRPr="006C4D47" w:rsidRDefault="006C4D47" w:rsidP="006C4D47">
      <w:pPr>
        <w:numPr>
          <w:ilvl w:val="0"/>
          <w:numId w:val="4"/>
        </w:numPr>
        <w:spacing w:after="0" w:line="240" w:lineRule="auto"/>
        <w:jc w:val="both"/>
        <w:rPr>
          <w:rFonts w:ascii="Times New Roman" w:hAnsi="Times New Roman" w:cs="Times New Roman"/>
          <w:sz w:val="24"/>
        </w:rPr>
      </w:pPr>
      <w:r w:rsidRPr="006C4D47">
        <w:rPr>
          <w:rFonts w:ascii="Times New Roman" w:hAnsi="Times New Roman" w:cs="Times New Roman"/>
          <w:sz w:val="24"/>
        </w:rPr>
        <w:t xml:space="preserve">An adequate record of conditions and circumstances under which artifacts are deaccessioned and disposed of must be made and retained as part of the museum’s collection record. </w:t>
      </w:r>
    </w:p>
    <w:p w14:paraId="0FAE88AC" w14:textId="47E86569" w:rsidR="006C4D47" w:rsidRPr="006C4D47" w:rsidRDefault="006C4D47" w:rsidP="006C4D47">
      <w:pPr>
        <w:jc w:val="both"/>
        <w:rPr>
          <w:rFonts w:ascii="Times New Roman" w:hAnsi="Times New Roman" w:cs="Times New Roman"/>
          <w:sz w:val="24"/>
        </w:rPr>
      </w:pPr>
    </w:p>
    <w:p w14:paraId="5280D5CB" w14:textId="1716B334" w:rsidR="006C4D47" w:rsidRDefault="006C4D47" w:rsidP="0096323C">
      <w:pPr>
        <w:numPr>
          <w:ilvl w:val="0"/>
          <w:numId w:val="4"/>
        </w:numPr>
        <w:spacing w:after="0" w:line="240" w:lineRule="auto"/>
        <w:jc w:val="both"/>
        <w:rPr>
          <w:rFonts w:ascii="Times New Roman" w:hAnsi="Times New Roman" w:cs="Times New Roman"/>
          <w:sz w:val="24"/>
        </w:rPr>
      </w:pPr>
      <w:r w:rsidRPr="00994A17">
        <w:rPr>
          <w:rFonts w:ascii="Times New Roman" w:hAnsi="Times New Roman" w:cs="Times New Roman"/>
          <w:sz w:val="24"/>
        </w:rPr>
        <w:t>Abandoned property under consideration for deaccession by the museum shall be dealt with as provided by Nevada Revised Statues (NRS) under “State Museums</w:t>
      </w:r>
      <w:commentRangeStart w:id="4"/>
      <w:commentRangeStart w:id="5"/>
      <w:commentRangeStart w:id="6"/>
      <w:r w:rsidRPr="00994A17">
        <w:rPr>
          <w:rFonts w:ascii="Times New Roman" w:hAnsi="Times New Roman" w:cs="Times New Roman"/>
          <w:sz w:val="24"/>
        </w:rPr>
        <w:t>,” # 381.0</w:t>
      </w:r>
      <w:r w:rsidR="003A536A" w:rsidRPr="00994A17">
        <w:rPr>
          <w:rFonts w:ascii="Times New Roman" w:hAnsi="Times New Roman" w:cs="Times New Roman"/>
          <w:sz w:val="24"/>
        </w:rPr>
        <w:t>0</w:t>
      </w:r>
      <w:r w:rsidRPr="00994A17">
        <w:rPr>
          <w:rFonts w:ascii="Times New Roman" w:hAnsi="Times New Roman" w:cs="Times New Roman"/>
          <w:sz w:val="24"/>
        </w:rPr>
        <w:t>9.</w:t>
      </w:r>
      <w:commentRangeEnd w:id="4"/>
      <w:r w:rsidR="001D4E82">
        <w:rPr>
          <w:rStyle w:val="CommentReference"/>
        </w:rPr>
        <w:commentReference w:id="4"/>
      </w:r>
      <w:commentRangeEnd w:id="5"/>
      <w:r w:rsidR="00994A17">
        <w:rPr>
          <w:rStyle w:val="CommentReference"/>
        </w:rPr>
        <w:commentReference w:id="5"/>
      </w:r>
      <w:commentRangeEnd w:id="6"/>
      <w:r w:rsidR="00F30DF1">
        <w:rPr>
          <w:rStyle w:val="CommentReference"/>
        </w:rPr>
        <w:commentReference w:id="6"/>
      </w:r>
      <w:r w:rsidR="003A536A" w:rsidRPr="00994A17">
        <w:rPr>
          <w:rFonts w:ascii="Times New Roman" w:hAnsi="Times New Roman" w:cs="Times New Roman"/>
          <w:sz w:val="24"/>
        </w:rPr>
        <w:t xml:space="preserve"> </w:t>
      </w:r>
    </w:p>
    <w:p w14:paraId="6BE6DC92" w14:textId="77777777" w:rsidR="003666BD" w:rsidRDefault="003666BD" w:rsidP="003666BD">
      <w:pPr>
        <w:pStyle w:val="ListParagraph"/>
        <w:rPr>
          <w:rFonts w:ascii="Times New Roman" w:hAnsi="Times New Roman" w:cs="Times New Roman"/>
          <w:sz w:val="24"/>
        </w:rPr>
      </w:pPr>
    </w:p>
    <w:p w14:paraId="5CE58331" w14:textId="1835AAA0" w:rsidR="003666BD" w:rsidRDefault="003666BD" w:rsidP="0096323C">
      <w:pPr>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 xml:space="preserve">In the case that the museum learns that an object’s original donor was not its proper owner, </w:t>
      </w:r>
      <w:r w:rsidR="00F6428D">
        <w:rPr>
          <w:rFonts w:ascii="Times New Roman" w:hAnsi="Times New Roman" w:cs="Times New Roman"/>
          <w:sz w:val="24"/>
        </w:rPr>
        <w:t>(du</w:t>
      </w:r>
      <w:r w:rsidR="00AD07D4">
        <w:rPr>
          <w:rFonts w:ascii="Times New Roman" w:hAnsi="Times New Roman" w:cs="Times New Roman"/>
          <w:sz w:val="24"/>
        </w:rPr>
        <w:t>e</w:t>
      </w:r>
      <w:r w:rsidR="00F6428D">
        <w:rPr>
          <w:rFonts w:ascii="Times New Roman" w:hAnsi="Times New Roman" w:cs="Times New Roman"/>
          <w:sz w:val="24"/>
        </w:rPr>
        <w:t xml:space="preserve"> to actions such as theft, illegal export, removal of objects of cultural patrimony, etc.) every effort will be made to reunite the object with its proper owner(s). This can include a return to an individual family member, estate Indigenous group, or territory/country of origin. </w:t>
      </w:r>
    </w:p>
    <w:p w14:paraId="55576E24" w14:textId="77777777" w:rsidR="00F6428D" w:rsidRPr="00994A17" w:rsidRDefault="00F6428D" w:rsidP="00F6428D">
      <w:pPr>
        <w:spacing w:after="0" w:line="240" w:lineRule="auto"/>
        <w:jc w:val="both"/>
        <w:rPr>
          <w:rFonts w:ascii="Times New Roman" w:hAnsi="Times New Roman" w:cs="Times New Roman"/>
          <w:sz w:val="24"/>
        </w:rPr>
      </w:pPr>
    </w:p>
    <w:p w14:paraId="3396BA38" w14:textId="77777777" w:rsidR="006C4D47" w:rsidRPr="006C4D47" w:rsidRDefault="006C4D47" w:rsidP="006C4D47">
      <w:pPr>
        <w:jc w:val="center"/>
        <w:rPr>
          <w:rFonts w:ascii="Times New Roman" w:hAnsi="Times New Roman" w:cs="Times New Roman"/>
          <w:b/>
          <w:sz w:val="28"/>
        </w:rPr>
      </w:pPr>
      <w:r w:rsidRPr="006C4D47">
        <w:rPr>
          <w:rFonts w:ascii="Times New Roman" w:hAnsi="Times New Roman" w:cs="Times New Roman"/>
          <w:b/>
          <w:sz w:val="28"/>
        </w:rPr>
        <w:t xml:space="preserve"> 6 - Access:</w:t>
      </w:r>
    </w:p>
    <w:p w14:paraId="3872B848" w14:textId="465571FD" w:rsidR="006C4D47" w:rsidRPr="006C4D47" w:rsidRDefault="006C4D47" w:rsidP="006C4D47">
      <w:pPr>
        <w:pStyle w:val="BodyText2"/>
        <w:ind w:firstLine="360"/>
      </w:pPr>
      <w:r w:rsidRPr="006C4D47">
        <w:t xml:space="preserve">The </w:t>
      </w:r>
      <w:smartTag w:uri="urn:schemas-microsoft-com:office:smarttags" w:element="place">
        <w:smartTag w:uri="urn:schemas-microsoft-com:office:smarttags" w:element="PlaceName">
          <w:r w:rsidRPr="006C4D47">
            <w:t>Churchill</w:t>
          </w:r>
        </w:smartTag>
        <w:r w:rsidRPr="006C4D47">
          <w:t xml:space="preserve"> </w:t>
        </w:r>
        <w:smartTag w:uri="urn:schemas-microsoft-com:office:smarttags" w:element="PlaceType">
          <w:r w:rsidRPr="006C4D47">
            <w:t>County</w:t>
          </w:r>
        </w:smartTag>
        <w:r w:rsidRPr="006C4D47">
          <w:t xml:space="preserve"> </w:t>
        </w:r>
        <w:smartTag w:uri="urn:schemas-microsoft-com:office:smarttags" w:element="PlaceType">
          <w:r w:rsidRPr="006C4D47">
            <w:t>Museum</w:t>
          </w:r>
        </w:smartTag>
      </w:smartTag>
      <w:r w:rsidRPr="006C4D47">
        <w:t xml:space="preserve"> is committed to making its material available to users on terms of equal access. Equal access does not mean that all materials are open to research use.  When necessary, the museum’s professional staff will balance a researcher’s need for access with the need for confidentiality of persons or institutions represented in the material. The museum will also observe donor and lender restrictions.</w:t>
      </w:r>
      <w:r w:rsidR="00F547F1">
        <w:t xml:space="preserve"> </w:t>
      </w:r>
      <w:r w:rsidRPr="006C4D47">
        <w:t xml:space="preserve">Copies or photographs for research purposes are available </w:t>
      </w:r>
      <w:r w:rsidR="00C45FE9">
        <w:t>up</w:t>
      </w:r>
      <w:r w:rsidRPr="006C4D47">
        <w:t>on request.</w:t>
      </w:r>
    </w:p>
    <w:p w14:paraId="24147601" w14:textId="77777777" w:rsidR="006C4D47" w:rsidRPr="006C4D47" w:rsidRDefault="006C4D47" w:rsidP="006C4D47">
      <w:pPr>
        <w:pStyle w:val="BodyText2"/>
        <w:ind w:firstLine="360"/>
      </w:pPr>
    </w:p>
    <w:p w14:paraId="3FFFC1A8" w14:textId="1746CB9D" w:rsidR="006C4D47" w:rsidRDefault="006C4D47" w:rsidP="006C4D47">
      <w:pPr>
        <w:pStyle w:val="BodyText2"/>
        <w:ind w:firstLine="360"/>
      </w:pPr>
      <w:r w:rsidRPr="006C4D47">
        <w:t xml:space="preserve">Objects </w:t>
      </w:r>
      <w:r w:rsidR="00F547F1">
        <w:t xml:space="preserve">in </w:t>
      </w:r>
      <w:r w:rsidRPr="006C4D47">
        <w:t xml:space="preserve">the research collection </w:t>
      </w:r>
      <w:r w:rsidR="003A536A">
        <w:t xml:space="preserve">may be </w:t>
      </w:r>
      <w:r w:rsidRPr="006C4D47">
        <w:t xml:space="preserve">used by anyone under the supervision of staff. Objects </w:t>
      </w:r>
      <w:r w:rsidR="00F547F1">
        <w:t>in</w:t>
      </w:r>
      <w:r w:rsidRPr="006C4D47">
        <w:t xml:space="preserve"> the permanent collection are not to be handled without instruction and tighter staff supervision. Researchers using the permanent collections are to be told the following: </w:t>
      </w:r>
    </w:p>
    <w:p w14:paraId="372A1DEE" w14:textId="77777777" w:rsidR="006C4D47" w:rsidRPr="006C4D47" w:rsidRDefault="006C4D47" w:rsidP="006C4D47">
      <w:pPr>
        <w:pStyle w:val="BodyText2"/>
        <w:ind w:firstLine="360"/>
      </w:pPr>
    </w:p>
    <w:p w14:paraId="51B513D6" w14:textId="77777777" w:rsidR="006C4D47" w:rsidRPr="006C4D47" w:rsidRDefault="006C4D47" w:rsidP="006C4D47">
      <w:pPr>
        <w:pStyle w:val="BodyText2"/>
        <w:numPr>
          <w:ilvl w:val="0"/>
          <w:numId w:val="7"/>
        </w:numPr>
      </w:pPr>
      <w:r w:rsidRPr="006C4D47">
        <w:t>No food or drink is allowed in research spaces. If the researcher has a closed beverage, it must be placed on the floor</w:t>
      </w:r>
    </w:p>
    <w:p w14:paraId="2AC6CF5C" w14:textId="77777777" w:rsidR="006C4D47" w:rsidRPr="006C4D47" w:rsidRDefault="006C4D47" w:rsidP="006C4D47">
      <w:pPr>
        <w:pStyle w:val="BodyText2"/>
        <w:numPr>
          <w:ilvl w:val="0"/>
          <w:numId w:val="7"/>
        </w:numPr>
      </w:pPr>
      <w:r w:rsidRPr="006C4D47">
        <w:t xml:space="preserve">Paper documents should be handled with bare, but recently washed hands. If hands get dirty or sweaty, they should be rewashed. All other objects should be handled with nitrile gloves, which the museum will provide to researchers. </w:t>
      </w:r>
    </w:p>
    <w:p w14:paraId="280DD55D" w14:textId="77777777" w:rsidR="006C4D47" w:rsidRPr="006C4D47" w:rsidRDefault="006C4D47" w:rsidP="006C4D47">
      <w:pPr>
        <w:pStyle w:val="BodyText2"/>
        <w:numPr>
          <w:ilvl w:val="0"/>
          <w:numId w:val="7"/>
        </w:numPr>
      </w:pPr>
      <w:r w:rsidRPr="006C4D47">
        <w:t>In the case of archival or photographic material, all pieces are to be left in the order they were found. This is best accomplished by laying a folder flat and turning the pages as one would a book</w:t>
      </w:r>
    </w:p>
    <w:p w14:paraId="35BF1B91" w14:textId="27E342C6" w:rsidR="006C4D47" w:rsidRDefault="006C4D47" w:rsidP="006C4D47">
      <w:pPr>
        <w:pStyle w:val="BodyText2"/>
        <w:numPr>
          <w:ilvl w:val="0"/>
          <w:numId w:val="7"/>
        </w:numPr>
      </w:pPr>
      <w:r w:rsidRPr="006C4D47">
        <w:t>All three-dimensional objects are to be held with two hands, supporting the base. Handles are not to be used to lift the object. If a researcher needs to work with such an object, a trained staff member will demonstrate.</w:t>
      </w:r>
    </w:p>
    <w:p w14:paraId="5485779A" w14:textId="77777777" w:rsidR="006C4D47" w:rsidRPr="006C4D47" w:rsidRDefault="006C4D47" w:rsidP="006C4D47">
      <w:pPr>
        <w:pStyle w:val="BodyText2"/>
        <w:ind w:left="1080"/>
      </w:pPr>
    </w:p>
    <w:p w14:paraId="38EABE08" w14:textId="083D7154" w:rsidR="00B04638" w:rsidRDefault="006C4D47" w:rsidP="006C4D47">
      <w:pPr>
        <w:pStyle w:val="BodyTextIndent2"/>
      </w:pPr>
      <w:r w:rsidRPr="006C4D47">
        <w:t xml:space="preserve">With objects in the permanent collection, the most common form of access is display. All artifacts formally accepted into the collections shall be used and handled on a professional basis during research, study, educational programs, and exhibitions. The museum has a policy of </w:t>
      </w:r>
      <w:r w:rsidRPr="006C4D47">
        <w:lastRenderedPageBreak/>
        <w:t>changing the artifacts on exhibit in order to protect them from deterioration due to ultraviolet light, dust and other hazards. For this reason no donation will be for permanent exhibit.</w:t>
      </w:r>
    </w:p>
    <w:p w14:paraId="320B8255" w14:textId="0972C7AC" w:rsidR="00994A17" w:rsidRDefault="00994A17">
      <w:pPr>
        <w:rPr>
          <w:rFonts w:ascii="Times New Roman" w:eastAsia="Times New Roman" w:hAnsi="Times New Roman" w:cs="Times New Roman"/>
          <w:sz w:val="24"/>
          <w:szCs w:val="20"/>
        </w:rPr>
      </w:pPr>
      <w:r>
        <w:br w:type="page"/>
      </w:r>
    </w:p>
    <w:p w14:paraId="19E907D1" w14:textId="020D759B" w:rsidR="00994A17" w:rsidRDefault="00994A17" w:rsidP="00994A17">
      <w:pPr>
        <w:pStyle w:val="sectbody"/>
      </w:pPr>
      <w:r>
        <w:rPr>
          <w:rStyle w:val="empty"/>
        </w:rPr>
        <w:lastRenderedPageBreak/>
        <w:t xml:space="preserve"> </w:t>
      </w:r>
      <w:bookmarkStart w:id="7" w:name="NRS381Sec009"/>
      <w:bookmarkEnd w:id="7"/>
      <w:r>
        <w:rPr>
          <w:rStyle w:val="empty"/>
        </w:rPr>
        <w:t>NRS</w:t>
      </w:r>
      <w:r>
        <w:rPr>
          <w:rStyle w:val="empty"/>
        </w:rPr>
        <w:t> </w:t>
      </w:r>
      <w:r>
        <w:rPr>
          <w:rStyle w:val="section"/>
        </w:rPr>
        <w:t>381.009</w:t>
      </w:r>
      <w:r>
        <w:rPr>
          <w:rStyle w:val="empty"/>
        </w:rPr>
        <w:t> </w:t>
      </w:r>
      <w:r>
        <w:rPr>
          <w:rStyle w:val="empty"/>
        </w:rPr>
        <w:t> </w:t>
      </w:r>
      <w:r>
        <w:rPr>
          <w:rStyle w:val="leadline"/>
        </w:rPr>
        <w:t>Acquisition or repatriation of abandoned property held by institution.</w:t>
      </w:r>
    </w:p>
    <w:p w14:paraId="1BDD9221" w14:textId="77777777" w:rsidR="00994A17" w:rsidRDefault="00994A17" w:rsidP="00994A17">
      <w:pPr>
        <w:pStyle w:val="sectbody"/>
      </w:pPr>
      <w:r>
        <w:t>      1.</w:t>
      </w:r>
      <w:r>
        <w:t> </w:t>
      </w:r>
      <w:r>
        <w:t> </w:t>
      </w:r>
      <w:r>
        <w:t>Any property held by an institution for 3 years or more, to which no person has made claim, shall be deemed to be abandoned and, except as otherwise provided in subsection 4, becomes the property of the Division if the Administrator complies with the provisions of subsection 2.</w:t>
      </w:r>
    </w:p>
    <w:p w14:paraId="1E3BAE1E" w14:textId="77777777" w:rsidR="00994A17" w:rsidRDefault="00994A17" w:rsidP="00994A17">
      <w:pPr>
        <w:pStyle w:val="sectbody"/>
      </w:pPr>
      <w:r>
        <w:t>      2.</w:t>
      </w:r>
      <w:r>
        <w:t> </w:t>
      </w:r>
      <w:r>
        <w:t> </w:t>
      </w:r>
      <w:r>
        <w:t>The Administrator shall cause to be published in at least one newspaper of general circulation in the county in which the institution is located at least once a week for 2 consecutive weeks a notice and listing of the property. The notice must contain:</w:t>
      </w:r>
    </w:p>
    <w:p w14:paraId="72937C3A" w14:textId="77777777" w:rsidR="00994A17" w:rsidRDefault="00994A17" w:rsidP="00994A17">
      <w:pPr>
        <w:pStyle w:val="sectbody"/>
      </w:pPr>
      <w:r>
        <w:t>      (a)</w:t>
      </w:r>
      <w:r>
        <w:t> </w:t>
      </w:r>
      <w:r>
        <w:t>The name and last known address, if any, of the last known owner of the property;</w:t>
      </w:r>
    </w:p>
    <w:p w14:paraId="1F11BA47" w14:textId="77777777" w:rsidR="00994A17" w:rsidRDefault="00994A17" w:rsidP="00994A17">
      <w:pPr>
        <w:pStyle w:val="sectbody"/>
      </w:pPr>
      <w:r>
        <w:t>      (b)</w:t>
      </w:r>
      <w:r>
        <w:t> </w:t>
      </w:r>
      <w:r>
        <w:t>A description of the property; and</w:t>
      </w:r>
    </w:p>
    <w:p w14:paraId="0623FD5A" w14:textId="77777777" w:rsidR="00994A17" w:rsidRDefault="00994A17" w:rsidP="00994A17">
      <w:pPr>
        <w:pStyle w:val="sectbody"/>
      </w:pPr>
      <w:r>
        <w:t>      (c)</w:t>
      </w:r>
      <w:r>
        <w:t> </w:t>
      </w:r>
      <w:r>
        <w:t>A statement that if proof of a claim is not presented by the owner to the institution and if the owner’s right to receive the property is not established to the Administrator’s satisfaction within 60 days after the date of the second published notice, the property will be considered abandoned and become the property of the Division.</w:t>
      </w:r>
    </w:p>
    <w:p w14:paraId="2DBB2B15" w14:textId="77777777" w:rsidR="00994A17" w:rsidRDefault="00994A17" w:rsidP="00994A17">
      <w:pPr>
        <w:pStyle w:val="sectbody"/>
      </w:pPr>
      <w:r>
        <w:t>      3.</w:t>
      </w:r>
      <w:r>
        <w:t> </w:t>
      </w:r>
      <w:r>
        <w:t> </w:t>
      </w:r>
      <w:r>
        <w:t>If no claim has been made to the property within 60 days after the date of the second published notice, title, including literary rights, to the property vests in the Division, free from all claims of the owner and of all persons claiming through or under the owner.</w:t>
      </w:r>
    </w:p>
    <w:p w14:paraId="00707FC0" w14:textId="77777777" w:rsidR="00994A17" w:rsidRDefault="00994A17" w:rsidP="00994A17">
      <w:pPr>
        <w:pStyle w:val="sectbody"/>
      </w:pPr>
      <w:r>
        <w:t>      4.</w:t>
      </w:r>
      <w:r>
        <w:t> </w:t>
      </w:r>
      <w:r>
        <w:t> </w:t>
      </w:r>
      <w:r>
        <w:t>If property deemed to be abandoned pursuant to subsection 1 is native Indian human remains or another cultural item of an Indian tribe, the Administrator shall:</w:t>
      </w:r>
    </w:p>
    <w:p w14:paraId="76E1A849" w14:textId="77777777" w:rsidR="00994A17" w:rsidRDefault="00994A17" w:rsidP="00994A17">
      <w:pPr>
        <w:pStyle w:val="sectbody"/>
      </w:pPr>
      <w:r>
        <w:t>      (a)</w:t>
      </w:r>
      <w:r>
        <w:t> </w:t>
      </w:r>
      <w:r>
        <w:t xml:space="preserve">Provide notice to and consult with each applicable Indian tribe in the manner provided by </w:t>
      </w:r>
      <w:hyperlink r:id="rId15" w:anchor="NRS381Sec0066" w:history="1">
        <w:r>
          <w:rPr>
            <w:rStyle w:val="Hyperlink"/>
          </w:rPr>
          <w:t>NRS 381.0066</w:t>
        </w:r>
      </w:hyperlink>
      <w:r>
        <w:t>;</w:t>
      </w:r>
    </w:p>
    <w:p w14:paraId="4A01F9EC" w14:textId="77777777" w:rsidR="00994A17" w:rsidRDefault="00994A17" w:rsidP="00994A17">
      <w:pPr>
        <w:pStyle w:val="sectbody"/>
      </w:pPr>
      <w:r>
        <w:t>      (b)</w:t>
      </w:r>
      <w:r>
        <w:t> </w:t>
      </w:r>
      <w:r>
        <w:t xml:space="preserve">Determine which Indian tribe has the closest cultural affiliation to the human remains or other cultural item, in the manner provided by </w:t>
      </w:r>
      <w:hyperlink r:id="rId16" w:anchor="NRS381Sec0067" w:history="1">
        <w:r>
          <w:rPr>
            <w:rStyle w:val="Hyperlink"/>
          </w:rPr>
          <w:t>NRS 381.0067</w:t>
        </w:r>
      </w:hyperlink>
      <w:r>
        <w:t>; and</w:t>
      </w:r>
    </w:p>
    <w:p w14:paraId="48DDAC6C" w14:textId="77777777" w:rsidR="00994A17" w:rsidRDefault="00994A17" w:rsidP="00994A17">
      <w:pPr>
        <w:pStyle w:val="sectbody"/>
      </w:pPr>
      <w:r>
        <w:t>      (c)</w:t>
      </w:r>
      <w:r>
        <w:t> </w:t>
      </w:r>
      <w:r>
        <w:t xml:space="preserve">Return the human remains or other cultural item to the closest culturally affiliated Indian tribe in the manner provided by the repatriation process adopted pursuant to </w:t>
      </w:r>
      <w:hyperlink r:id="rId17" w:anchor="NRS381Sec0069" w:history="1">
        <w:r>
          <w:rPr>
            <w:rStyle w:val="Hyperlink"/>
          </w:rPr>
          <w:t>NRS 381.0069</w:t>
        </w:r>
      </w:hyperlink>
      <w:r>
        <w:t>, if a request for repatriation is made.</w:t>
      </w:r>
    </w:p>
    <w:p w14:paraId="7B2C9554" w14:textId="77777777" w:rsidR="00994A17" w:rsidRDefault="00994A17" w:rsidP="00994A17">
      <w:pPr>
        <w:pStyle w:val="sectbody"/>
      </w:pPr>
      <w:r>
        <w:t>      5.</w:t>
      </w:r>
      <w:r>
        <w:t> </w:t>
      </w:r>
      <w:r>
        <w:t> </w:t>
      </w:r>
      <w:r>
        <w:t>To be deemed an object of cultural significance, an object must have ongoing historical, traditional or cultural importance central to an Indian tribe or culture itself, rather than property owned by a member of an Indian tribe, and which, therefore, cannot be alienated, appropriated or conveyed by any person, regardless of whether the person is a member of the Indian tribe. The object must have been considered inalienable by the Indian tribe at the time the object was separated from such group.</w:t>
      </w:r>
    </w:p>
    <w:p w14:paraId="7869BF82" w14:textId="77777777" w:rsidR="00994A17" w:rsidRDefault="00994A17" w:rsidP="00994A17">
      <w:pPr>
        <w:pStyle w:val="sectbody"/>
      </w:pPr>
      <w:r>
        <w:t>      6.</w:t>
      </w:r>
      <w:r>
        <w:t> </w:t>
      </w:r>
      <w:r>
        <w:t> </w:t>
      </w:r>
      <w:r>
        <w:t>As used in this section:</w:t>
      </w:r>
    </w:p>
    <w:p w14:paraId="0BE4D225" w14:textId="77777777" w:rsidR="00994A17" w:rsidRDefault="00994A17" w:rsidP="00994A17">
      <w:pPr>
        <w:pStyle w:val="sectbody"/>
      </w:pPr>
      <w:r>
        <w:lastRenderedPageBreak/>
        <w:t>      (a)</w:t>
      </w:r>
      <w:r>
        <w:t> </w:t>
      </w:r>
      <w:r>
        <w:t>“Cultural item” means human remains, a funerary object, a sacred object or an object of cultural significance.</w:t>
      </w:r>
    </w:p>
    <w:p w14:paraId="645E88EA" w14:textId="77777777" w:rsidR="00994A17" w:rsidRDefault="00994A17" w:rsidP="00994A17">
      <w:pPr>
        <w:pStyle w:val="sectbody"/>
      </w:pPr>
      <w:r>
        <w:t>      (b)</w:t>
      </w:r>
      <w:r>
        <w:t> </w:t>
      </w:r>
      <w:r>
        <w:t>“Object of cultural significance” means an object which meets the qualifications of subsection 5.</w:t>
      </w:r>
    </w:p>
    <w:p w14:paraId="19B7710C" w14:textId="77777777" w:rsidR="00994A17" w:rsidRDefault="00994A17" w:rsidP="00994A17">
      <w:pPr>
        <w:pStyle w:val="sectbody"/>
      </w:pPr>
      <w:r>
        <w:t>      (c)</w:t>
      </w:r>
      <w:r>
        <w:t> </w:t>
      </w:r>
      <w:r>
        <w:t>“Sacred object” means a historic or prehistoric object that was or is needed by traditional religious leaders of an Indian tribe for the practice of the traditional religion of an Indian tribe.</w:t>
      </w:r>
    </w:p>
    <w:p w14:paraId="2D788C63" w14:textId="77777777" w:rsidR="00994A17" w:rsidRDefault="00994A17" w:rsidP="00994A17">
      <w:pPr>
        <w:pStyle w:val="sourcenote"/>
      </w:pPr>
      <w:r>
        <w:t xml:space="preserve">      (Added to NRS by </w:t>
      </w:r>
      <w:hyperlink r:id="rId18" w:anchor="Stats198501page134" w:history="1">
        <w:r>
          <w:rPr>
            <w:rStyle w:val="Hyperlink"/>
          </w:rPr>
          <w:t>1985, 134</w:t>
        </w:r>
      </w:hyperlink>
      <w:r>
        <w:t xml:space="preserve">; A </w:t>
      </w:r>
      <w:hyperlink r:id="rId19" w:anchor="Stats199307page1587" w:history="1">
        <w:r>
          <w:rPr>
            <w:rStyle w:val="Hyperlink"/>
          </w:rPr>
          <w:t>1993, 1587</w:t>
        </w:r>
      </w:hyperlink>
      <w:r>
        <w:t xml:space="preserve">; </w:t>
      </w:r>
      <w:hyperlink r:id="rId20" w:anchor="Stats200107page932" w:history="1">
        <w:r>
          <w:rPr>
            <w:rStyle w:val="Hyperlink"/>
          </w:rPr>
          <w:t>2001, 932</w:t>
        </w:r>
      </w:hyperlink>
      <w:r>
        <w:t xml:space="preserve">, </w:t>
      </w:r>
      <w:hyperlink r:id="rId21" w:anchor="Stats200112page1648" w:history="1">
        <w:r>
          <w:rPr>
            <w:rStyle w:val="Hyperlink"/>
          </w:rPr>
          <w:t>1648</w:t>
        </w:r>
      </w:hyperlink>
      <w:r>
        <w:t xml:space="preserve">; </w:t>
      </w:r>
      <w:hyperlink r:id="rId22" w:anchor="Stats201720page3538" w:history="1">
        <w:r>
          <w:rPr>
            <w:rStyle w:val="Hyperlink"/>
          </w:rPr>
          <w:t>2017, 3538</w:t>
        </w:r>
      </w:hyperlink>
      <w:r>
        <w:t>)</w:t>
      </w:r>
    </w:p>
    <w:p w14:paraId="7ADAB7AF" w14:textId="77777777" w:rsidR="00994A17" w:rsidRDefault="00994A17" w:rsidP="006C4D47">
      <w:pPr>
        <w:pStyle w:val="BodyTextIndent2"/>
      </w:pPr>
    </w:p>
    <w:p w14:paraId="0664E3E9" w14:textId="77777777" w:rsidR="006B6BF8" w:rsidRDefault="006B6BF8" w:rsidP="006C4D47">
      <w:pPr>
        <w:pStyle w:val="BodyTextIndent2"/>
      </w:pPr>
    </w:p>
    <w:p w14:paraId="6951A6EF" w14:textId="77777777" w:rsidR="006B6BF8" w:rsidRDefault="006B6BF8" w:rsidP="006C4D47">
      <w:pPr>
        <w:pStyle w:val="BodyTextIndent2"/>
      </w:pPr>
    </w:p>
    <w:p w14:paraId="0A4E85B0" w14:textId="77777777" w:rsidR="006B6BF8" w:rsidRPr="006C4D47" w:rsidRDefault="006B6BF8" w:rsidP="006C4D47">
      <w:pPr>
        <w:pStyle w:val="BodyTextIndent2"/>
      </w:pPr>
    </w:p>
    <w:sectPr w:rsidR="006B6BF8" w:rsidRPr="006C4D47">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seum Host" w:date="2025-07-17T12:37:00Z" w:initials="MH">
    <w:p w14:paraId="05AE46EE" w14:textId="1AA5FD31" w:rsidR="00F547F1" w:rsidRDefault="00F547F1" w:rsidP="00F547F1">
      <w:pPr>
        <w:pStyle w:val="CommentText"/>
      </w:pPr>
      <w:r>
        <w:rPr>
          <w:rStyle w:val="CommentReference"/>
        </w:rPr>
        <w:annotationRef/>
      </w:r>
      <w:r>
        <w:t xml:space="preserve">This is the most ethical thing to do, but is contentious. </w:t>
      </w:r>
    </w:p>
  </w:comment>
  <w:comment w:id="1" w:author="Mel Glover" w:date="2025-10-09T15:05:00Z" w:initials="MG">
    <w:p w14:paraId="0E9C8A44" w14:textId="77777777" w:rsidR="001D4E82" w:rsidRDefault="001D4E82" w:rsidP="001D4E82">
      <w:pPr>
        <w:pStyle w:val="CommentText"/>
      </w:pPr>
      <w:r>
        <w:rPr>
          <w:rStyle w:val="CommentReference"/>
        </w:rPr>
        <w:annotationRef/>
      </w:r>
      <w:r>
        <w:t>I would like the first option to be something along the lines of, “Reasonable efforts will first be made to return items to the original donor or their estate.” I know that this adds a level of potential complexity but I’ve always felt it should be in the list. If there is a strong argument that this would expose us to liability I can acquiesce.</w:t>
      </w:r>
    </w:p>
  </w:comment>
  <w:comment w:id="2" w:author="Raeburn Sottile" w:date="2025-10-09T16:05:00Z" w:initials="RS">
    <w:p w14:paraId="701FB995" w14:textId="7F2591BE" w:rsidR="00786677" w:rsidRDefault="00786677">
      <w:pPr>
        <w:pStyle w:val="CommentText"/>
      </w:pPr>
      <w:r>
        <w:rPr>
          <w:rStyle w:val="CommentReference"/>
        </w:rPr>
        <w:annotationRef/>
      </w:r>
      <w:r w:rsidR="00F6428D">
        <w:t>Every collections policy I could find online says they do not return accessioned objects because of tax policies (as the donations are tax deductible</w:t>
      </w:r>
      <w:r w:rsidR="0039128D">
        <w:t>, it can lead to significant issues with the IRS</w:t>
      </w:r>
      <w:r w:rsidR="00F6428D">
        <w:t>)</w:t>
      </w:r>
      <w:r>
        <w:t>. Additionally, it could easily place us into family disputes if the original donor is d</w:t>
      </w:r>
      <w:r w:rsidR="003666BD">
        <w:t>ead: how do we know the family member is the primary heir?</w:t>
      </w:r>
      <w:r w:rsidR="00F6428D">
        <w:t xml:space="preserve"> What if there are competing heirs?</w:t>
      </w:r>
      <w:r w:rsidR="003666BD">
        <w:t xml:space="preserve"> </w:t>
      </w:r>
      <w:r w:rsidR="00F6428D">
        <w:t xml:space="preserve">Returning items also encourages people to use us as long-term storage because we’ll take care of it for free as long as they want, and then they can come get it with no notice. Furthermore, it undermines the very conceit of a permanent collection as we are no longer caring for something in perpetuity, but just until a family member decides they kinda want it back. </w:t>
      </w:r>
    </w:p>
  </w:comment>
  <w:comment w:id="3" w:author="Mel Glover" w:date="2025-10-10T12:48:00Z" w:initials="MG">
    <w:p w14:paraId="58F66821" w14:textId="77777777" w:rsidR="008E6AA3" w:rsidRDefault="008E6AA3" w:rsidP="008E6AA3">
      <w:pPr>
        <w:pStyle w:val="CommentText"/>
      </w:pPr>
      <w:r>
        <w:rPr>
          <w:rStyle w:val="CommentReference"/>
        </w:rPr>
        <w:annotationRef/>
      </w:r>
      <w:r>
        <w:t>I can get onboard with the idea of tax policies. This is all the reasoning I need. In fact, now that you mention it, I’ve seen that very thing.</w:t>
      </w:r>
    </w:p>
  </w:comment>
  <w:comment w:id="4" w:author="Mel Glover" w:date="2025-10-09T15:07:00Z" w:initials="MG">
    <w:p w14:paraId="6FD11A66" w14:textId="4315BD21" w:rsidR="001D4E82" w:rsidRDefault="001D4E82" w:rsidP="001D4E82">
      <w:pPr>
        <w:pStyle w:val="CommentText"/>
      </w:pPr>
      <w:r>
        <w:rPr>
          <w:rStyle w:val="CommentReference"/>
        </w:rPr>
        <w:annotationRef/>
      </w:r>
      <w:r>
        <w:t>Should we include the wording of this in an appendix?</w:t>
      </w:r>
    </w:p>
  </w:comment>
  <w:comment w:id="5" w:author="Raeburn Sottile" w:date="2025-10-09T15:55:00Z" w:initials="RS">
    <w:p w14:paraId="59655B4D" w14:textId="285F6E85" w:rsidR="00994A17" w:rsidRDefault="00994A17">
      <w:pPr>
        <w:pStyle w:val="CommentText"/>
      </w:pPr>
      <w:r>
        <w:rPr>
          <w:rStyle w:val="CommentReference"/>
        </w:rPr>
        <w:annotationRef/>
      </w:r>
      <w:r>
        <w:t xml:space="preserve">So I’m glad you had me look this up, Because it is specifically for </w:t>
      </w:r>
      <w:r w:rsidR="00786677">
        <w:t>*</w:t>
      </w:r>
      <w:r>
        <w:t>state</w:t>
      </w:r>
      <w:r w:rsidR="00786677">
        <w:t>*</w:t>
      </w:r>
      <w:r>
        <w:t xml:space="preserve"> museums. The more general abandoned property statute is this one, which</w:t>
      </w:r>
      <w:r w:rsidR="00786677">
        <w:t xml:space="preserve"> seems to suggest that any unclaimed property in the state needs to be turned over to the state treasurer, who will then try to sell it. It may be worth seeking legal clarity</w:t>
      </w:r>
      <w:r>
        <w:t xml:space="preserve">: </w:t>
      </w:r>
      <w:hyperlink r:id="rId1" w:anchor="NRS120ASec010" w:history="1">
        <w:r w:rsidRPr="009E6D7C">
          <w:rPr>
            <w:rStyle w:val="Hyperlink"/>
          </w:rPr>
          <w:t>https://www.leg.state.nv.us/NRS/NRS-120A.html#NRS120ASec010</w:t>
        </w:r>
      </w:hyperlink>
      <w:r>
        <w:t xml:space="preserve"> </w:t>
      </w:r>
    </w:p>
  </w:comment>
  <w:comment w:id="6" w:author="Mel Glover" w:date="2025-10-10T12:52:00Z" w:initials="MG">
    <w:p w14:paraId="12D30EAC" w14:textId="77777777" w:rsidR="00F30DF1" w:rsidRDefault="00F30DF1" w:rsidP="00F30DF1">
      <w:pPr>
        <w:pStyle w:val="CommentText"/>
      </w:pPr>
      <w:r>
        <w:rPr>
          <w:rStyle w:val="CommentReference"/>
        </w:rPr>
        <w:annotationRef/>
      </w:r>
      <w:r>
        <w:t>Great catch. I’ll ask Jeff Weed to look into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AE46EE" w15:done="0"/>
  <w15:commentEx w15:paraId="0E9C8A44" w15:paraIdParent="05AE46EE" w15:done="0"/>
  <w15:commentEx w15:paraId="701FB995" w15:paraIdParent="05AE46EE" w15:done="0"/>
  <w15:commentEx w15:paraId="58F66821" w15:paraIdParent="05AE46EE" w15:done="0"/>
  <w15:commentEx w15:paraId="6FD11A66" w15:done="0"/>
  <w15:commentEx w15:paraId="59655B4D" w15:paraIdParent="6FD11A66" w15:done="0"/>
  <w15:commentEx w15:paraId="12D30EAC" w15:paraIdParent="6FD11A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781F5C" w16cex:dateUtc="2025-07-17T19:37:00Z"/>
  <w16cex:commentExtensible w16cex:durableId="22CA4F09" w16cex:dateUtc="2025-10-09T22:05:00Z"/>
  <w16cex:commentExtensible w16cex:durableId="2C925BB7" w16cex:dateUtc="2025-10-09T23:05:00Z"/>
  <w16cex:commentExtensible w16cex:durableId="0B5A974F" w16cex:dateUtc="2025-10-10T19:48:00Z"/>
  <w16cex:commentExtensible w16cex:durableId="513FB33A" w16cex:dateUtc="2025-10-09T22:07:00Z"/>
  <w16cex:commentExtensible w16cex:durableId="2C925984" w16cex:dateUtc="2025-10-09T22:55:00Z"/>
  <w16cex:commentExtensible w16cex:durableId="7CFF7465" w16cex:dateUtc="2025-10-10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E46EE" w16cid:durableId="0B781F5C"/>
  <w16cid:commentId w16cid:paraId="0E9C8A44" w16cid:durableId="22CA4F09"/>
  <w16cid:commentId w16cid:paraId="701FB995" w16cid:durableId="2C925BB7"/>
  <w16cid:commentId w16cid:paraId="58F66821" w16cid:durableId="0B5A974F"/>
  <w16cid:commentId w16cid:paraId="6FD11A66" w16cid:durableId="513FB33A"/>
  <w16cid:commentId w16cid:paraId="59655B4D" w16cid:durableId="2C925984"/>
  <w16cid:commentId w16cid:paraId="12D30EAC" w16cid:durableId="7CFF74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0FF0" w14:textId="77777777" w:rsidR="00773A41" w:rsidRDefault="00773A41" w:rsidP="00B04638">
      <w:pPr>
        <w:spacing w:after="0" w:line="240" w:lineRule="auto"/>
      </w:pPr>
      <w:r>
        <w:separator/>
      </w:r>
    </w:p>
  </w:endnote>
  <w:endnote w:type="continuationSeparator" w:id="0">
    <w:p w14:paraId="1C500A84" w14:textId="77777777" w:rsidR="00773A41" w:rsidRDefault="00773A41" w:rsidP="00B0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879536"/>
      <w:docPartObj>
        <w:docPartGallery w:val="Page Numbers (Bottom of Page)"/>
        <w:docPartUnique/>
      </w:docPartObj>
    </w:sdtPr>
    <w:sdtEndPr>
      <w:rPr>
        <w:noProof/>
      </w:rPr>
    </w:sdtEndPr>
    <w:sdtContent>
      <w:p w14:paraId="46854C3E" w14:textId="6A2A2D8C" w:rsidR="00B04638" w:rsidRDefault="00B04638">
        <w:pPr>
          <w:pStyle w:val="Footer"/>
          <w:jc w:val="right"/>
        </w:pPr>
        <w:r>
          <w:fldChar w:fldCharType="begin"/>
        </w:r>
        <w:r>
          <w:instrText xml:space="preserve"> PAGE   \* MERGEFORMAT </w:instrText>
        </w:r>
        <w:r>
          <w:fldChar w:fldCharType="separate"/>
        </w:r>
        <w:r w:rsidR="00722284">
          <w:rPr>
            <w:noProof/>
          </w:rPr>
          <w:t>4</w:t>
        </w:r>
        <w:r>
          <w:rPr>
            <w:noProof/>
          </w:rPr>
          <w:fldChar w:fldCharType="end"/>
        </w:r>
      </w:p>
    </w:sdtContent>
  </w:sdt>
  <w:p w14:paraId="02CAD13A" w14:textId="77777777" w:rsidR="00B04638" w:rsidRDefault="00B0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D263" w14:textId="77777777" w:rsidR="00773A41" w:rsidRDefault="00773A41" w:rsidP="00B04638">
      <w:pPr>
        <w:spacing w:after="0" w:line="240" w:lineRule="auto"/>
      </w:pPr>
      <w:r>
        <w:separator/>
      </w:r>
    </w:p>
  </w:footnote>
  <w:footnote w:type="continuationSeparator" w:id="0">
    <w:p w14:paraId="685AFF1D" w14:textId="77777777" w:rsidR="00773A41" w:rsidRDefault="00773A41" w:rsidP="00B0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F093" w14:textId="5B51DFE5" w:rsidR="00B04638" w:rsidRDefault="00B04638">
    <w:pPr>
      <w:pStyle w:val="Header"/>
    </w:pPr>
    <w:r>
      <w:t>DRAFT ONLY – COMPILED OCTOBER 20</w:t>
    </w:r>
    <w:r w:rsidR="003A536A">
      <w:t>25</w:t>
    </w:r>
    <w:r>
      <w:t xml:space="preserve"> FOR PROPOSED REVIATALIZATION OF POLICY</w:t>
    </w:r>
  </w:p>
  <w:p w14:paraId="694716EF" w14:textId="77777777" w:rsidR="00B04638" w:rsidRDefault="00B04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043D"/>
    <w:multiLevelType w:val="hybridMultilevel"/>
    <w:tmpl w:val="6750DB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C5741C"/>
    <w:multiLevelType w:val="hybridMultilevel"/>
    <w:tmpl w:val="60FC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91DE3"/>
    <w:multiLevelType w:val="hybridMultilevel"/>
    <w:tmpl w:val="BE7E571C"/>
    <w:lvl w:ilvl="0" w:tplc="04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9EB2364"/>
    <w:multiLevelType w:val="hybridMultilevel"/>
    <w:tmpl w:val="E6F86F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3A64A1"/>
    <w:multiLevelType w:val="hybridMultilevel"/>
    <w:tmpl w:val="C524961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9BD7D8A"/>
    <w:multiLevelType w:val="hybridMultilevel"/>
    <w:tmpl w:val="A4FE3D7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221F1D"/>
    <w:multiLevelType w:val="hybridMultilevel"/>
    <w:tmpl w:val="B644C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2366573">
    <w:abstractNumId w:val="4"/>
  </w:num>
  <w:num w:numId="2" w16cid:durableId="1393507333">
    <w:abstractNumId w:val="5"/>
  </w:num>
  <w:num w:numId="3" w16cid:durableId="2026636590">
    <w:abstractNumId w:val="0"/>
  </w:num>
  <w:num w:numId="4" w16cid:durableId="1003313941">
    <w:abstractNumId w:val="2"/>
  </w:num>
  <w:num w:numId="5" w16cid:durableId="1962030741">
    <w:abstractNumId w:val="3"/>
  </w:num>
  <w:num w:numId="6" w16cid:durableId="1283343715">
    <w:abstractNumId w:val="1"/>
  </w:num>
  <w:num w:numId="7" w16cid:durableId="10473364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eum Host">
    <w15:presenceInfo w15:providerId="AD" w15:userId="S::museum.host@churchillcountynv.gov::45e49520-3863-441c-a949-a4c3cd3b0fe2"/>
  </w15:person>
  <w15:person w15:author="Mel Glover">
    <w15:presenceInfo w15:providerId="AD" w15:userId="S::mel.glover@churchillcountynv.gov::2d499fa9-1266-48ba-86b5-27f6f2be850d"/>
  </w15:person>
  <w15:person w15:author="Raeburn Sottile">
    <w15:presenceInfo w15:providerId="AD" w15:userId="S::raeburn.sottile@churchillcountynv.gov::3adfef90-a24c-49a2-b2ee-16d410c65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DU3M7EwA5IW5ko6SsGpxcWZ+XkgBYa1AKJxrFMsAAAA"/>
  </w:docVars>
  <w:rsids>
    <w:rsidRoot w:val="00B04638"/>
    <w:rsid w:val="00097CE0"/>
    <w:rsid w:val="000D1979"/>
    <w:rsid w:val="00180591"/>
    <w:rsid w:val="001B146E"/>
    <w:rsid w:val="001D4E82"/>
    <w:rsid w:val="00252089"/>
    <w:rsid w:val="002B43D0"/>
    <w:rsid w:val="002C3416"/>
    <w:rsid w:val="002C68B5"/>
    <w:rsid w:val="003666BD"/>
    <w:rsid w:val="0039128D"/>
    <w:rsid w:val="003A536A"/>
    <w:rsid w:val="003B55E7"/>
    <w:rsid w:val="0043470A"/>
    <w:rsid w:val="00450F11"/>
    <w:rsid w:val="005A5855"/>
    <w:rsid w:val="005B0BBA"/>
    <w:rsid w:val="00643808"/>
    <w:rsid w:val="00677B23"/>
    <w:rsid w:val="00687CD2"/>
    <w:rsid w:val="0069137E"/>
    <w:rsid w:val="006B6BF8"/>
    <w:rsid w:val="006C4D47"/>
    <w:rsid w:val="00722284"/>
    <w:rsid w:val="00773A41"/>
    <w:rsid w:val="00786677"/>
    <w:rsid w:val="007E4CB6"/>
    <w:rsid w:val="00802FEA"/>
    <w:rsid w:val="00846460"/>
    <w:rsid w:val="008E6AA3"/>
    <w:rsid w:val="00994A17"/>
    <w:rsid w:val="009B6BFA"/>
    <w:rsid w:val="00AD07D4"/>
    <w:rsid w:val="00AF03C2"/>
    <w:rsid w:val="00B04638"/>
    <w:rsid w:val="00C25CF7"/>
    <w:rsid w:val="00C45FE9"/>
    <w:rsid w:val="00C63527"/>
    <w:rsid w:val="00C9579F"/>
    <w:rsid w:val="00D54293"/>
    <w:rsid w:val="00E46E3C"/>
    <w:rsid w:val="00F2540F"/>
    <w:rsid w:val="00F30DF1"/>
    <w:rsid w:val="00F547F1"/>
    <w:rsid w:val="00F55FC4"/>
    <w:rsid w:val="00F6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3087F2"/>
  <w15:chartTrackingRefBased/>
  <w15:docId w15:val="{ED8E76D7-AF9C-48FF-A7A5-CAEFC07B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47"/>
  </w:style>
  <w:style w:type="paragraph" w:styleId="Heading3">
    <w:name w:val="heading 3"/>
    <w:basedOn w:val="Normal"/>
    <w:next w:val="Normal"/>
    <w:link w:val="Heading3Char"/>
    <w:qFormat/>
    <w:rsid w:val="00B04638"/>
    <w:pPr>
      <w:keepNext/>
      <w:spacing w:after="0" w:line="240" w:lineRule="auto"/>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38"/>
  </w:style>
  <w:style w:type="paragraph" w:styleId="Footer">
    <w:name w:val="footer"/>
    <w:basedOn w:val="Normal"/>
    <w:link w:val="FooterChar"/>
    <w:uiPriority w:val="99"/>
    <w:unhideWhenUsed/>
    <w:rsid w:val="00B04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38"/>
  </w:style>
  <w:style w:type="character" w:customStyle="1" w:styleId="Heading3Char">
    <w:name w:val="Heading 3 Char"/>
    <w:basedOn w:val="DefaultParagraphFont"/>
    <w:link w:val="Heading3"/>
    <w:rsid w:val="00B04638"/>
    <w:rPr>
      <w:rFonts w:ascii="Times New Roman" w:eastAsia="Times New Roman" w:hAnsi="Times New Roman" w:cs="Times New Roman"/>
      <w:b/>
      <w:sz w:val="24"/>
      <w:szCs w:val="20"/>
    </w:rPr>
  </w:style>
  <w:style w:type="paragraph" w:styleId="BodyText">
    <w:name w:val="Body Text"/>
    <w:basedOn w:val="Normal"/>
    <w:link w:val="BodyTextChar"/>
    <w:rsid w:val="00B04638"/>
    <w:pPr>
      <w:spacing w:after="0" w:line="240" w:lineRule="auto"/>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B04638"/>
    <w:rPr>
      <w:rFonts w:ascii="Times New Roman" w:eastAsia="Times New Roman" w:hAnsi="Times New Roman" w:cs="Times New Roman"/>
      <w:b/>
      <w:i/>
      <w:sz w:val="20"/>
      <w:szCs w:val="20"/>
    </w:rPr>
  </w:style>
  <w:style w:type="paragraph" w:styleId="BodyText2">
    <w:name w:val="Body Text 2"/>
    <w:basedOn w:val="Normal"/>
    <w:link w:val="BodyText2Char"/>
    <w:rsid w:val="00B04638"/>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04638"/>
    <w:rPr>
      <w:rFonts w:ascii="Times New Roman" w:eastAsia="Times New Roman" w:hAnsi="Times New Roman" w:cs="Times New Roman"/>
      <w:sz w:val="24"/>
      <w:szCs w:val="20"/>
    </w:rPr>
  </w:style>
  <w:style w:type="paragraph" w:styleId="BodyTextIndent">
    <w:name w:val="Body Text Indent"/>
    <w:basedOn w:val="Normal"/>
    <w:link w:val="BodyTextIndentChar"/>
    <w:rsid w:val="00B04638"/>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04638"/>
    <w:rPr>
      <w:rFonts w:ascii="Times New Roman" w:eastAsia="Times New Roman" w:hAnsi="Times New Roman" w:cs="Times New Roman"/>
      <w:sz w:val="24"/>
      <w:szCs w:val="20"/>
    </w:rPr>
  </w:style>
  <w:style w:type="paragraph" w:styleId="BodyTextIndent2">
    <w:name w:val="Body Text Indent 2"/>
    <w:basedOn w:val="Normal"/>
    <w:link w:val="BodyTextIndent2Char"/>
    <w:rsid w:val="00B04638"/>
    <w:pPr>
      <w:spacing w:after="0" w:line="240" w:lineRule="auto"/>
      <w:ind w:firstLine="36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0463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04638"/>
    <w:rPr>
      <w:sz w:val="16"/>
      <w:szCs w:val="16"/>
    </w:rPr>
  </w:style>
  <w:style w:type="paragraph" w:styleId="CommentText">
    <w:name w:val="annotation text"/>
    <w:basedOn w:val="Normal"/>
    <w:link w:val="CommentTextChar"/>
    <w:uiPriority w:val="99"/>
    <w:unhideWhenUsed/>
    <w:rsid w:val="00B04638"/>
    <w:pPr>
      <w:spacing w:line="240" w:lineRule="auto"/>
    </w:pPr>
    <w:rPr>
      <w:sz w:val="20"/>
      <w:szCs w:val="20"/>
    </w:rPr>
  </w:style>
  <w:style w:type="character" w:customStyle="1" w:styleId="CommentTextChar">
    <w:name w:val="Comment Text Char"/>
    <w:basedOn w:val="DefaultParagraphFont"/>
    <w:link w:val="CommentText"/>
    <w:uiPriority w:val="99"/>
    <w:rsid w:val="00B04638"/>
    <w:rPr>
      <w:sz w:val="20"/>
      <w:szCs w:val="20"/>
    </w:rPr>
  </w:style>
  <w:style w:type="paragraph" w:styleId="CommentSubject">
    <w:name w:val="annotation subject"/>
    <w:basedOn w:val="CommentText"/>
    <w:next w:val="CommentText"/>
    <w:link w:val="CommentSubjectChar"/>
    <w:uiPriority w:val="99"/>
    <w:semiHidden/>
    <w:unhideWhenUsed/>
    <w:rsid w:val="00B04638"/>
    <w:rPr>
      <w:b/>
      <w:bCs/>
    </w:rPr>
  </w:style>
  <w:style w:type="character" w:customStyle="1" w:styleId="CommentSubjectChar">
    <w:name w:val="Comment Subject Char"/>
    <w:basedOn w:val="CommentTextChar"/>
    <w:link w:val="CommentSubject"/>
    <w:uiPriority w:val="99"/>
    <w:semiHidden/>
    <w:rsid w:val="00B04638"/>
    <w:rPr>
      <w:b/>
      <w:bCs/>
      <w:sz w:val="20"/>
      <w:szCs w:val="20"/>
    </w:rPr>
  </w:style>
  <w:style w:type="paragraph" w:styleId="BalloonText">
    <w:name w:val="Balloon Text"/>
    <w:basedOn w:val="Normal"/>
    <w:link w:val="BalloonTextChar"/>
    <w:uiPriority w:val="99"/>
    <w:semiHidden/>
    <w:unhideWhenUsed/>
    <w:rsid w:val="00B04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38"/>
    <w:rPr>
      <w:rFonts w:ascii="Segoe UI" w:hAnsi="Segoe UI" w:cs="Segoe UI"/>
      <w:sz w:val="18"/>
      <w:szCs w:val="18"/>
    </w:rPr>
  </w:style>
  <w:style w:type="paragraph" w:styleId="ListParagraph">
    <w:name w:val="List Paragraph"/>
    <w:basedOn w:val="Normal"/>
    <w:uiPriority w:val="34"/>
    <w:qFormat/>
    <w:rsid w:val="00C25CF7"/>
    <w:pPr>
      <w:ind w:left="720"/>
      <w:contextualSpacing/>
    </w:pPr>
  </w:style>
  <w:style w:type="paragraph" w:customStyle="1" w:styleId="sectbody">
    <w:name w:val="sectbody"/>
    <w:basedOn w:val="Normal"/>
    <w:rsid w:val="00994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ty">
    <w:name w:val="empty"/>
    <w:basedOn w:val="DefaultParagraphFont"/>
    <w:rsid w:val="00994A17"/>
  </w:style>
  <w:style w:type="character" w:customStyle="1" w:styleId="section">
    <w:name w:val="section"/>
    <w:basedOn w:val="DefaultParagraphFont"/>
    <w:rsid w:val="00994A17"/>
  </w:style>
  <w:style w:type="character" w:customStyle="1" w:styleId="leadline">
    <w:name w:val="leadline"/>
    <w:basedOn w:val="DefaultParagraphFont"/>
    <w:rsid w:val="00994A17"/>
  </w:style>
  <w:style w:type="character" w:styleId="Hyperlink">
    <w:name w:val="Hyperlink"/>
    <w:basedOn w:val="DefaultParagraphFont"/>
    <w:uiPriority w:val="99"/>
    <w:unhideWhenUsed/>
    <w:rsid w:val="00994A17"/>
    <w:rPr>
      <w:color w:val="0000FF"/>
      <w:u w:val="single"/>
    </w:rPr>
  </w:style>
  <w:style w:type="paragraph" w:customStyle="1" w:styleId="sourcenote">
    <w:name w:val="sourcenote"/>
    <w:basedOn w:val="Normal"/>
    <w:rsid w:val="00994A1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94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leg.state.nv.us/NRS/NRS-120A.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eg.state.nv.us/Statutes/63rd/Stats198501.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leg.state.nv.us/Statutes/71st/Stats200112.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eg.state.nv.us/nRs/NRS-381.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state.nv.us/nRs/NRS-381.html" TargetMode="External"/><Relationship Id="rId20" Type="http://schemas.openxmlformats.org/officeDocument/2006/relationships/hyperlink" Target="https://www.leg.state.nv.us/Statutes/71st/Stats20010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state.nv.us/nRs/NRS-381.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state.nv.us/Statutes/67th/Stats19930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leg.state.nv.us/Statutes/79th2017/Stats201720.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8106ee-afd8-465d-ba1c-1e569ddcc5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BC9D55C4F4A747BAA8FA2BD352311F" ma:contentTypeVersion="11" ma:contentTypeDescription="Create a new document." ma:contentTypeScope="" ma:versionID="fdb9760fc7eea6bdce0abb9e55d00637">
  <xsd:schema xmlns:xsd="http://www.w3.org/2001/XMLSchema" xmlns:xs="http://www.w3.org/2001/XMLSchema" xmlns:p="http://schemas.microsoft.com/office/2006/metadata/properties" xmlns:ns3="958106ee-afd8-465d-ba1c-1e569ddcc508" targetNamespace="http://schemas.microsoft.com/office/2006/metadata/properties" ma:root="true" ma:fieldsID="1c28c7ee19b7495f7ac6261320edcf75" ns3:_="">
    <xsd:import namespace="958106ee-afd8-465d-ba1c-1e569ddcc50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106ee-afd8-465d-ba1c-1e569ddcc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6912-976A-4BF0-A3BE-B31BECEE8117}">
  <ds:schemaRefs>
    <ds:schemaRef ds:uri="http://schemas.microsoft.com/office/2006/metadata/properties"/>
    <ds:schemaRef ds:uri="http://schemas.microsoft.com/office/infopath/2007/PartnerControls"/>
    <ds:schemaRef ds:uri="958106ee-afd8-465d-ba1c-1e569ddcc508"/>
  </ds:schemaRefs>
</ds:datastoreItem>
</file>

<file path=customXml/itemProps2.xml><?xml version="1.0" encoding="utf-8"?>
<ds:datastoreItem xmlns:ds="http://schemas.openxmlformats.org/officeDocument/2006/customXml" ds:itemID="{93F3F5F2-C0B0-4EB8-B71A-1B74C218E161}">
  <ds:schemaRefs>
    <ds:schemaRef ds:uri="http://schemas.openxmlformats.org/officeDocument/2006/bibliography"/>
  </ds:schemaRefs>
</ds:datastoreItem>
</file>

<file path=customXml/itemProps3.xml><?xml version="1.0" encoding="utf-8"?>
<ds:datastoreItem xmlns:ds="http://schemas.openxmlformats.org/officeDocument/2006/customXml" ds:itemID="{38BE2FE2-61DC-48C7-8BD1-66BAB75A8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106ee-afd8-465d-ba1c-1e569ddcc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4632D-F7B0-4ED1-8CDB-AB36EF495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Raeburn Sottile</dc:creator>
  <cp:keywords/>
  <dc:description/>
  <cp:lastModifiedBy>Raeburn Sottile</cp:lastModifiedBy>
  <cp:revision>3</cp:revision>
  <cp:lastPrinted>2019-10-15T16:13:00Z</cp:lastPrinted>
  <dcterms:created xsi:type="dcterms:W3CDTF">2025-10-10T20:09:00Z</dcterms:created>
  <dcterms:modified xsi:type="dcterms:W3CDTF">2025-10-10T20:12:00Z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0x0101004FBC9D55C4F4A747BAA8FA2BD352311F</vt:lpwstr>
  </property>
</Properties>
</file>